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郑州市第八人民医院</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瑞民街院区门关设备设施项目比选公告</w:t>
      </w:r>
    </w:p>
    <w:p>
      <w:pPr>
        <w:rPr>
          <w:rFonts w:ascii="仿宋_GB2312" w:hAnsi="仿宋_GB2312" w:eastAsia="仿宋_GB2312" w:cs="仿宋_GB2312"/>
          <w:sz w:val="32"/>
          <w:szCs w:val="32"/>
        </w:rPr>
      </w:pPr>
    </w:p>
    <w:p>
      <w:pPr>
        <w:pStyle w:val="6"/>
        <w:widowControl/>
        <w:spacing w:beforeAutospacing="0" w:afterAutospacing="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因医院安全工作需要，我院决定对瑞民街院区门关设备设施项目采取比选的方式确定供应商，欢迎符合条件的供应商参加。</w:t>
      </w:r>
    </w:p>
    <w:p>
      <w:pPr>
        <w:pStyle w:val="6"/>
        <w:widowControl/>
        <w:spacing w:beforeAutospacing="0" w:afterAutospacing="0"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1.1项目名称：郑州市第八人民医院瑞民街院区门关设备设施项目。</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1.2采购范围：门关设备设施（详见附件：技术标准要求）。</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1.3预算金额：</w:t>
      </w:r>
      <w:r>
        <w:rPr>
          <w:rFonts w:ascii="仿宋_GB2312" w:hAnsi="仿宋_GB2312" w:eastAsia="仿宋_GB2312" w:cs="仿宋_GB2312"/>
          <w:sz w:val="32"/>
          <w:szCs w:val="32"/>
        </w:rPr>
        <w:t>壹拾</w:t>
      </w:r>
      <w:r>
        <w:rPr>
          <w:rFonts w:hint="eastAsia" w:ascii="仿宋_GB2312" w:hAnsi="仿宋_GB2312" w:eastAsia="仿宋_GB2312" w:cs="仿宋_GB2312"/>
          <w:sz w:val="32"/>
          <w:szCs w:val="32"/>
        </w:rPr>
        <w:t>柒</w:t>
      </w:r>
      <w:r>
        <w:rPr>
          <w:rFonts w:ascii="仿宋_GB2312" w:hAnsi="仿宋_GB2312" w:eastAsia="仿宋_GB2312" w:cs="仿宋_GB2312"/>
          <w:sz w:val="32"/>
          <w:szCs w:val="32"/>
        </w:rPr>
        <w:t>万伍仟</w:t>
      </w:r>
      <w:r>
        <w:rPr>
          <w:rFonts w:hint="eastAsia" w:ascii="仿宋_GB2312" w:hAnsi="仿宋_GB2312" w:eastAsia="仿宋_GB2312" w:cs="仿宋_GB2312"/>
          <w:sz w:val="32"/>
          <w:szCs w:val="32"/>
        </w:rPr>
        <w:t>圆整（¥：1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5,000</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）元。</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1.4 资金来源：自有资金。</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1.5质保期限：</w:t>
      </w:r>
      <w:r>
        <w:rPr>
          <w:rFonts w:ascii="仿宋_GB2312" w:hAnsi="仿宋_GB2312" w:eastAsia="仿宋_GB2312" w:cs="仿宋_GB2312"/>
          <w:sz w:val="32"/>
          <w:szCs w:val="32"/>
        </w:rPr>
        <w:t>1年</w:t>
      </w:r>
      <w:r>
        <w:rPr>
          <w:rFonts w:hint="eastAsia" w:ascii="仿宋_GB2312" w:hAnsi="仿宋_GB2312" w:eastAsia="仿宋_GB2312" w:cs="仿宋_GB2312"/>
          <w:sz w:val="32"/>
          <w:szCs w:val="32"/>
        </w:rPr>
        <w:t>。</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1.6项目地点：郑州市第八人民医院瑞民街院区。</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1.7工期要求：1</w:t>
      </w:r>
      <w:r>
        <w:rPr>
          <w:rFonts w:ascii="仿宋_GB2312" w:hAnsi="仿宋_GB2312" w:eastAsia="仿宋_GB2312" w:cs="仿宋_GB2312"/>
          <w:sz w:val="32"/>
          <w:szCs w:val="32"/>
        </w:rPr>
        <w:t>5个工作日</w:t>
      </w:r>
      <w:r>
        <w:rPr>
          <w:rFonts w:hint="eastAsia" w:ascii="仿宋_GB2312" w:hAnsi="仿宋_GB2312" w:eastAsia="仿宋_GB2312" w:cs="仿宋_GB2312"/>
          <w:sz w:val="32"/>
          <w:szCs w:val="32"/>
        </w:rPr>
        <w:t>，使用功能符合采购人需求。</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1.8本项目是否接受联合体投标：否。</w:t>
      </w:r>
    </w:p>
    <w:p>
      <w:pPr>
        <w:pStyle w:val="6"/>
        <w:widowControl/>
        <w:spacing w:beforeAutospacing="0" w:afterAutospacing="0"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二、供应商资格要求</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2.1 能够独立承担民事责任能力；</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2.2 具有良好的商业信誉和健全的财务会计制度；</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2.3具有履行合同所必需的设备和专业技术能力；</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2.4 参加本次采购活动前三年内，在经营活动中没有重大违法记录；</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2.5相关法律、法规规定的其他条件。</w:t>
      </w:r>
    </w:p>
    <w:p>
      <w:pPr>
        <w:pStyle w:val="6"/>
        <w:widowControl/>
        <w:spacing w:beforeAutospacing="0" w:afterAutospacing="0" w:line="560" w:lineRule="exact"/>
        <w:rPr>
          <w:rFonts w:ascii="仿宋_GB2312" w:hAnsi="仿宋_GB2312" w:eastAsia="仿宋_GB2312" w:cs="仿宋_GB2312"/>
          <w:b/>
          <w:bCs/>
          <w:sz w:val="32"/>
          <w:szCs w:val="32"/>
        </w:rPr>
      </w:pPr>
    </w:p>
    <w:p>
      <w:pPr>
        <w:pStyle w:val="6"/>
        <w:widowControl/>
        <w:spacing w:beforeAutospacing="0" w:afterAutospacing="0" w:line="56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三、资料提交</w:t>
      </w:r>
      <w:r>
        <w:rPr>
          <w:rFonts w:hint="eastAsia" w:ascii="仿宋_GB2312" w:hAnsi="仿宋_GB2312" w:eastAsia="仿宋_GB2312" w:cs="仿宋_GB2312"/>
          <w:b/>
          <w:bCs/>
          <w:sz w:val="32"/>
          <w:szCs w:val="32"/>
          <w:lang w:val="en-US" w:eastAsia="zh-CN"/>
        </w:rPr>
        <w:t>要求</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3.1 营业执照副本复印件；</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3.2项目报价单（需加盖公章）；</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3.3项目实施方案（包括质保、售后服务承诺等）；</w:t>
      </w:r>
    </w:p>
    <w:p>
      <w:pPr>
        <w:pStyle w:val="6"/>
        <w:widowControl/>
        <w:spacing w:beforeAutospacing="0" w:afterAutospacing="0" w:line="560" w:lineRule="exact"/>
        <w:rPr>
          <w:rFonts w:hint="eastAsia" w:ascii="仿宋_GB2312" w:hAnsi="仿宋_GB2312" w:eastAsia="仿宋_GB2312" w:cs="仿宋_GB2312"/>
          <w:sz w:val="32"/>
          <w:szCs w:val="32"/>
        </w:rPr>
      </w:pPr>
      <w:r>
        <w:rPr>
          <w:rFonts w:ascii="仿宋_GB2312" w:hAnsi="仿宋_GB2312" w:eastAsia="仿宋_GB2312" w:cs="仿宋_GB2312"/>
          <w:sz w:val="32"/>
          <w:szCs w:val="32"/>
        </w:rPr>
        <w:t>3.4</w:t>
      </w:r>
      <w:r>
        <w:rPr>
          <w:rFonts w:hint="eastAsia" w:ascii="仿宋_GB2312" w:hAnsi="仿宋_GB2312" w:eastAsia="仿宋_GB2312" w:cs="仿宋_GB2312"/>
          <w:sz w:val="32"/>
          <w:szCs w:val="32"/>
        </w:rPr>
        <w:t>响应文件资料。</w:t>
      </w:r>
    </w:p>
    <w:p>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3.5响应文件份数：比选响应文件正本壹份，副本贰份，副本和正本不一致时，以正本为准；</w:t>
      </w:r>
    </w:p>
    <w:p>
      <w:pPr>
        <w:pStyle w:val="6"/>
        <w:widowControl/>
        <w:spacing w:beforeAutospacing="0" w:afterAutospacing="0" w:line="560" w:lineRule="exact"/>
        <w:rPr>
          <w:rFonts w:hint="default"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3.6</w:t>
      </w:r>
      <w:bookmarkStart w:id="6" w:name="_GoBack"/>
      <w:bookmarkEnd w:id="6"/>
      <w:r>
        <w:rPr>
          <w:rFonts w:hint="eastAsia" w:ascii="仿宋_GB2312" w:hAnsi="仿宋_GB2312" w:eastAsia="仿宋_GB2312" w:cs="仿宋_GB2312"/>
          <w:kern w:val="0"/>
          <w:sz w:val="32"/>
          <w:szCs w:val="32"/>
          <w:lang w:val="en-US" w:eastAsia="zh-CN" w:bidi="ar-SA"/>
        </w:rPr>
        <w:t>响应文件应采用胶装方式进行装订，不得出现散页现象。正、副本比选响应文件应一起密封送达，密封袋上应体现项目名称、公司名称、联系人及联系电话；</w:t>
      </w:r>
    </w:p>
    <w:p>
      <w:pPr>
        <w:pStyle w:val="6"/>
        <w:widowControl/>
        <w:spacing w:beforeAutospacing="0" w:afterAutospacing="0" w:line="56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四、比选文件获取方式</w:t>
      </w:r>
    </w:p>
    <w:p>
      <w:pPr>
        <w:pStyle w:val="6"/>
        <w:widowControl/>
        <w:shd w:val="clear" w:color="auto" w:fill="FFFFFF"/>
        <w:spacing w:beforeAutospacing="0" w:afterAutospacing="0" w:line="540" w:lineRule="exac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fldChar w:fldCharType="begin"/>
      </w:r>
      <w:r>
        <w:rPr>
          <w:rFonts w:hint="eastAsia" w:ascii="仿宋_GB2312" w:hAnsi="仿宋_GB2312" w:eastAsia="仿宋_GB2312" w:cs="仿宋_GB2312"/>
          <w:kern w:val="2"/>
          <w:sz w:val="32"/>
          <w:szCs w:val="32"/>
          <w:lang w:val="en-US" w:eastAsia="zh-CN"/>
        </w:rPr>
        <w:instrText xml:space="preserve"> HYPERLINK "http://www.zz8y.com/自行下载" </w:instrText>
      </w:r>
      <w:r>
        <w:rPr>
          <w:rFonts w:hint="eastAsia" w:ascii="仿宋_GB2312" w:hAnsi="仿宋_GB2312" w:eastAsia="仿宋_GB2312" w:cs="仿宋_GB2312"/>
          <w:kern w:val="2"/>
          <w:sz w:val="32"/>
          <w:szCs w:val="32"/>
          <w:lang w:val="en-US" w:eastAsia="zh-CN"/>
        </w:rPr>
        <w:fldChar w:fldCharType="separate"/>
      </w:r>
      <w:r>
        <w:rPr>
          <w:rFonts w:hint="eastAsia" w:ascii="仿宋_GB2312" w:hAnsi="仿宋_GB2312" w:eastAsia="仿宋_GB2312" w:cs="仿宋_GB2312"/>
          <w:kern w:val="2"/>
          <w:sz w:val="32"/>
          <w:szCs w:val="32"/>
          <w:lang w:val="en-US" w:eastAsia="zh-CN"/>
        </w:rPr>
        <w:t>http://www.zz8y.com/自行下载</w:t>
      </w:r>
      <w:r>
        <w:rPr>
          <w:rFonts w:hint="eastAsia" w:ascii="仿宋_GB2312" w:hAnsi="仿宋_GB2312" w:eastAsia="仿宋_GB2312" w:cs="仿宋_GB2312"/>
          <w:kern w:val="2"/>
          <w:sz w:val="32"/>
          <w:szCs w:val="32"/>
          <w:lang w:val="en-US" w:eastAsia="zh-CN"/>
        </w:rPr>
        <w:fldChar w:fldCharType="end"/>
      </w:r>
    </w:p>
    <w:p>
      <w:pPr>
        <w:pStyle w:val="6"/>
        <w:widowControl/>
        <w:spacing w:beforeAutospacing="0" w:afterAutospacing="0" w:line="56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五、响应文件提交的截止时间及地点</w:t>
      </w:r>
    </w:p>
    <w:p>
      <w:pPr>
        <w:pStyle w:val="6"/>
        <w:widowControl/>
        <w:spacing w:beforeAutospacing="0" w:afterAutospacing="0" w:line="560" w:lineRule="exact"/>
        <w:rPr>
          <w:rFonts w:hint="eastAsia" w:ascii="仿宋_GB2312" w:hAnsi="仿宋_GB2312" w:eastAsia="仿宋_GB2312" w:cs="仿宋_GB2312"/>
          <w:sz w:val="32"/>
          <w:szCs w:val="32"/>
        </w:rPr>
      </w:pPr>
      <w:bookmarkStart w:id="0" w:name="_Toc13135"/>
      <w:bookmarkStart w:id="1" w:name="_Toc25716"/>
      <w:r>
        <w:rPr>
          <w:rFonts w:hint="eastAsia" w:ascii="仿宋_GB2312" w:hAnsi="仿宋_GB2312" w:eastAsia="仿宋_GB2312" w:cs="仿宋_GB2312"/>
          <w:sz w:val="32"/>
          <w:szCs w:val="32"/>
          <w:lang w:val="en-US" w:eastAsia="zh-CN"/>
        </w:rPr>
        <w:t>5.1</w:t>
      </w:r>
      <w:r>
        <w:rPr>
          <w:rFonts w:hint="eastAsia" w:ascii="仿宋_GB2312" w:hAnsi="仿宋_GB2312" w:eastAsia="仿宋_GB2312" w:cs="仿宋_GB2312"/>
          <w:kern w:val="2"/>
          <w:sz w:val="32"/>
          <w:szCs w:val="32"/>
        </w:rPr>
        <w:t>本通知发出后</w:t>
      </w:r>
      <w:r>
        <w:rPr>
          <w:rFonts w:hint="eastAsia" w:ascii="仿宋_GB2312" w:hAnsi="仿宋_GB2312" w:eastAsia="仿宋_GB2312" w:cs="仿宋_GB2312"/>
          <w:kern w:val="2"/>
          <w:sz w:val="32"/>
          <w:szCs w:val="32"/>
          <w:lang w:val="en-US" w:eastAsia="zh-CN"/>
        </w:rPr>
        <w:t>公示3个工作日，</w:t>
      </w:r>
      <w:r>
        <w:rPr>
          <w:rFonts w:hint="eastAsia" w:ascii="仿宋_GB2312" w:hAnsi="仿宋_GB2312" w:eastAsia="仿宋_GB2312" w:cs="仿宋_GB2312"/>
          <w:sz w:val="32"/>
          <w:szCs w:val="32"/>
          <w:lang w:eastAsia="zh-CN"/>
        </w:rPr>
        <w:t>比选</w:t>
      </w:r>
      <w:r>
        <w:rPr>
          <w:rFonts w:hint="eastAsia" w:ascii="仿宋_GB2312" w:hAnsi="仿宋_GB2312" w:eastAsia="仿宋_GB2312" w:cs="仿宋_GB2312"/>
          <w:sz w:val="32"/>
          <w:szCs w:val="32"/>
        </w:rPr>
        <w:t>响应文件递交</w:t>
      </w:r>
      <w:r>
        <w:rPr>
          <w:rFonts w:hint="eastAsia" w:ascii="仿宋_GB2312" w:hAnsi="仿宋_GB2312" w:eastAsia="仿宋_GB2312" w:cs="仿宋_GB2312"/>
          <w:kern w:val="2"/>
          <w:sz w:val="32"/>
          <w:szCs w:val="32"/>
          <w:lang w:val="en-US" w:eastAsia="zh-CN"/>
        </w:rPr>
        <w:t>截止时间</w:t>
      </w:r>
      <w:r>
        <w:rPr>
          <w:rFonts w:hint="eastAsia" w:ascii="仿宋_GB2312" w:hAnsi="仿宋_GB2312" w:eastAsia="仿宋_GB2312" w:cs="仿宋_GB2312"/>
          <w:kern w:val="2"/>
          <w:sz w:val="32"/>
          <w:szCs w:val="32"/>
        </w:rPr>
        <w:t>2024年</w:t>
      </w:r>
      <w:r>
        <w:rPr>
          <w:rFonts w:hint="eastAsia" w:ascii="仿宋_GB2312" w:hAnsi="仿宋_GB2312" w:eastAsia="仿宋_GB2312" w:cs="仿宋_GB2312"/>
          <w:kern w:val="2"/>
          <w:sz w:val="32"/>
          <w:szCs w:val="32"/>
          <w:lang w:val="en-US" w:eastAsia="zh-CN"/>
        </w:rPr>
        <w:t>7</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18</w:t>
      </w:r>
      <w:r>
        <w:rPr>
          <w:rFonts w:hint="eastAsia" w:ascii="仿宋_GB2312" w:hAnsi="仿宋_GB2312" w:eastAsia="仿宋_GB2312" w:cs="仿宋_GB2312"/>
          <w:kern w:val="2"/>
          <w:sz w:val="32"/>
          <w:szCs w:val="32"/>
        </w:rPr>
        <w:t>日</w:t>
      </w:r>
      <w:r>
        <w:rPr>
          <w:rFonts w:hint="eastAsia" w:ascii="仿宋_GB2312" w:hAnsi="仿宋_GB2312" w:eastAsia="仿宋_GB2312" w:cs="仿宋_GB2312"/>
          <w:kern w:val="2"/>
          <w:sz w:val="32"/>
          <w:szCs w:val="32"/>
          <w:lang w:val="en-US" w:eastAsia="zh-CN"/>
        </w:rPr>
        <w:t>15</w:t>
      </w:r>
      <w:r>
        <w:rPr>
          <w:rFonts w:hint="eastAsia" w:ascii="仿宋_GB2312" w:hAnsi="仿宋_GB2312" w:eastAsia="仿宋_GB2312" w:cs="仿宋_GB2312"/>
          <w:kern w:val="2"/>
          <w:sz w:val="32"/>
          <w:szCs w:val="32"/>
        </w:rPr>
        <w:t>时</w:t>
      </w:r>
      <w:r>
        <w:rPr>
          <w:rFonts w:hint="eastAsia" w:ascii="仿宋_GB2312" w:hAnsi="仿宋_GB2312" w:eastAsia="仿宋_GB2312" w:cs="仿宋_GB2312"/>
          <w:sz w:val="32"/>
          <w:szCs w:val="32"/>
        </w:rPr>
        <w:t>；逾期送达的响应文件，采购人不予受理；</w:t>
      </w:r>
    </w:p>
    <w:p>
      <w:pPr>
        <w:pStyle w:val="6"/>
        <w:widowControl/>
        <w:spacing w:beforeAutospacing="0" w:afterAutospacing="0"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5.2</w:t>
      </w:r>
      <w:r>
        <w:rPr>
          <w:rFonts w:hint="eastAsia" w:ascii="仿宋_GB2312" w:hAnsi="仿宋_GB2312" w:eastAsia="仿宋_GB2312" w:cs="仿宋_GB2312"/>
          <w:sz w:val="32"/>
          <w:szCs w:val="32"/>
          <w:lang w:eastAsia="zh-CN"/>
        </w:rPr>
        <w:t>比选</w:t>
      </w:r>
      <w:r>
        <w:rPr>
          <w:rFonts w:hint="eastAsia" w:ascii="仿宋_GB2312" w:hAnsi="仿宋_GB2312" w:eastAsia="仿宋_GB2312" w:cs="仿宋_GB2312"/>
          <w:sz w:val="32"/>
          <w:szCs w:val="32"/>
        </w:rPr>
        <w:t>响应文件递交地点：</w:t>
      </w:r>
      <w:r>
        <w:rPr>
          <w:rFonts w:hint="eastAsia" w:ascii="仿宋_GB2312" w:hAnsi="仿宋_GB2312" w:eastAsia="仿宋_GB2312" w:cs="仿宋_GB2312"/>
          <w:sz w:val="32"/>
          <w:szCs w:val="32"/>
          <w:lang w:val="en-US" w:eastAsia="zh-CN"/>
        </w:rPr>
        <w:t>郑州市第八人民医院（郑州市二七区郑密路与航海路交叉口向南200米路西）</w:t>
      </w:r>
      <w:r>
        <w:rPr>
          <w:rFonts w:hint="eastAsia" w:ascii="仿宋_GB2312" w:hAnsi="仿宋_GB2312" w:eastAsia="仿宋_GB2312" w:cs="仿宋_GB2312"/>
          <w:sz w:val="32"/>
          <w:szCs w:val="32"/>
        </w:rPr>
        <w:t>；</w:t>
      </w:r>
    </w:p>
    <w:p>
      <w:pPr>
        <w:pStyle w:val="6"/>
        <w:widowControl/>
        <w:numPr>
          <w:ilvl w:val="0"/>
          <w:numId w:val="1"/>
        </w:numPr>
        <w:spacing w:beforeAutospacing="0" w:afterAutospacing="0" w:line="560" w:lineRule="exac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响应文件开启时间及地点</w:t>
      </w:r>
    </w:p>
    <w:p>
      <w:pPr>
        <w:pStyle w:val="6"/>
        <w:widowControl/>
        <w:numPr>
          <w:ilvl w:val="0"/>
          <w:numId w:val="0"/>
        </w:numPr>
        <w:spacing w:beforeAutospacing="0" w:afterAutospacing="0" w:line="56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rPr>
        <w:t>开标时间：</w:t>
      </w:r>
      <w:r>
        <w:rPr>
          <w:rFonts w:hint="eastAsia" w:ascii="仿宋_GB2312" w:hAnsi="仿宋_GB2312" w:eastAsia="仿宋_GB2312" w:cs="仿宋_GB2312"/>
          <w:kern w:val="2"/>
          <w:sz w:val="32"/>
          <w:szCs w:val="32"/>
        </w:rPr>
        <w:t>2024年</w:t>
      </w:r>
      <w:r>
        <w:rPr>
          <w:rFonts w:hint="eastAsia" w:ascii="仿宋_GB2312" w:hAnsi="仿宋_GB2312" w:eastAsia="仿宋_GB2312" w:cs="仿宋_GB2312"/>
          <w:kern w:val="2"/>
          <w:sz w:val="32"/>
          <w:szCs w:val="32"/>
          <w:lang w:val="en-US" w:eastAsia="zh-CN"/>
        </w:rPr>
        <w:t>7</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18</w:t>
      </w:r>
      <w:r>
        <w:rPr>
          <w:rFonts w:hint="eastAsia" w:ascii="仿宋_GB2312" w:hAnsi="仿宋_GB2312" w:eastAsia="仿宋_GB2312" w:cs="仿宋_GB2312"/>
          <w:kern w:val="2"/>
          <w:sz w:val="32"/>
          <w:szCs w:val="32"/>
        </w:rPr>
        <w:t>日</w:t>
      </w:r>
      <w:r>
        <w:rPr>
          <w:rFonts w:hint="eastAsia" w:ascii="仿宋_GB2312" w:hAnsi="仿宋_GB2312" w:eastAsia="仿宋_GB2312" w:cs="仿宋_GB2312"/>
          <w:kern w:val="2"/>
          <w:sz w:val="32"/>
          <w:szCs w:val="32"/>
          <w:lang w:val="en-US" w:eastAsia="zh-CN"/>
        </w:rPr>
        <w:t>15</w:t>
      </w:r>
      <w:r>
        <w:rPr>
          <w:rFonts w:hint="eastAsia" w:ascii="仿宋_GB2312" w:hAnsi="仿宋_GB2312" w:eastAsia="仿宋_GB2312" w:cs="仿宋_GB2312"/>
          <w:kern w:val="2"/>
          <w:sz w:val="32"/>
          <w:szCs w:val="32"/>
        </w:rPr>
        <w:t>时</w:t>
      </w:r>
    </w:p>
    <w:p>
      <w:pPr>
        <w:pStyle w:val="6"/>
        <w:widowControl/>
        <w:numPr>
          <w:ilvl w:val="0"/>
          <w:numId w:val="0"/>
        </w:numPr>
        <w:spacing w:beforeAutospacing="0" w:afterAutospacing="0"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rPr>
        <w:t>开标地点：</w:t>
      </w:r>
      <w:r>
        <w:rPr>
          <w:rFonts w:hint="eastAsia" w:ascii="仿宋_GB2312" w:hAnsi="仿宋_GB2312" w:eastAsia="仿宋_GB2312" w:cs="仿宋_GB2312"/>
          <w:sz w:val="32"/>
          <w:szCs w:val="32"/>
          <w:lang w:val="en-US" w:eastAsia="zh-CN"/>
        </w:rPr>
        <w:t>郑州市第八人民医院（郑州市二七区郑密路与航海路交叉口向南200米路西）</w:t>
      </w:r>
    </w:p>
    <w:bookmarkEnd w:id="0"/>
    <w:bookmarkEnd w:id="1"/>
    <w:p>
      <w:pPr>
        <w:pStyle w:val="6"/>
        <w:widowControl/>
        <w:spacing w:beforeAutospacing="0" w:afterAutospacing="0" w:line="560" w:lineRule="exact"/>
        <w:rPr>
          <w:rFonts w:hint="eastAsia" w:ascii="仿宋_GB2312" w:hAnsi="仿宋_GB2312" w:eastAsia="仿宋_GB2312" w:cs="仿宋_GB2312"/>
          <w:b/>
          <w:bCs/>
          <w:sz w:val="32"/>
          <w:szCs w:val="32"/>
          <w:lang w:val="en-US" w:eastAsia="zh-CN"/>
        </w:rPr>
      </w:pPr>
      <w:bookmarkStart w:id="2" w:name="_Toc3503"/>
      <w:bookmarkStart w:id="3" w:name="_Toc24559"/>
      <w:bookmarkStart w:id="4" w:name="_Toc5271"/>
      <w:bookmarkStart w:id="5" w:name="_Toc31338"/>
      <w:r>
        <w:rPr>
          <w:rFonts w:hint="eastAsia" w:ascii="仿宋_GB2312" w:hAnsi="仿宋_GB2312" w:eastAsia="仿宋_GB2312" w:cs="仿宋_GB2312"/>
          <w:b/>
          <w:bCs/>
          <w:sz w:val="32"/>
          <w:szCs w:val="32"/>
          <w:lang w:val="en-US" w:eastAsia="zh-CN"/>
        </w:rPr>
        <w:t>七、公告媒介</w:t>
      </w:r>
    </w:p>
    <w:p>
      <w:pPr>
        <w:pStyle w:val="6"/>
        <w:widowControl/>
        <w:shd w:val="clear" w:color="auto" w:fill="FFFFFF"/>
        <w:spacing w:beforeAutospacing="0" w:afterAutospacing="0" w:line="540" w:lineRule="exact"/>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http://www.zz8y.com/</w:t>
      </w:r>
      <w:bookmarkEnd w:id="2"/>
      <w:bookmarkEnd w:id="3"/>
      <w:bookmarkEnd w:id="4"/>
      <w:bookmarkEnd w:id="5"/>
    </w:p>
    <w:p>
      <w:pPr>
        <w:pStyle w:val="6"/>
        <w:widowControl/>
        <w:spacing w:beforeAutospacing="0" w:afterAutospacing="0"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、联系人及联系方式</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采购人名称：郑州市第八人民医院</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地 址：郑州市二七区郑密路与瑞民街向西200米路南</w:t>
      </w:r>
    </w:p>
    <w:p>
      <w:pPr>
        <w:pStyle w:val="6"/>
        <w:widowControl/>
        <w:spacing w:beforeAutospacing="0" w:afterAutospacing="0"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联 系 人：</w:t>
      </w:r>
      <w:r>
        <w:rPr>
          <w:rFonts w:hint="eastAsia" w:ascii="仿宋_GB2312" w:hAnsi="仿宋_GB2312" w:eastAsia="仿宋_GB2312" w:cs="仿宋_GB2312"/>
          <w:sz w:val="32"/>
          <w:szCs w:val="32"/>
          <w:lang w:val="en-US" w:eastAsia="zh-CN"/>
        </w:rPr>
        <w:t>李先生</w:t>
      </w:r>
    </w:p>
    <w:p>
      <w:pPr>
        <w:pStyle w:val="6"/>
        <w:widowControl/>
        <w:spacing w:beforeAutospacing="0" w:afterAutospacing="0" w:line="560" w:lineRule="exact"/>
        <w:rPr>
          <w:rFonts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0371-68953205</w:t>
      </w:r>
    </w:p>
    <w:p>
      <w:pPr>
        <w:pStyle w:val="6"/>
        <w:widowControl/>
        <w:spacing w:beforeAutospacing="0" w:afterAutospacing="0"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郑州市第八人民医院</w:t>
      </w:r>
    </w:p>
    <w:p>
      <w:pPr>
        <w:ind w:firstLine="320" w:firstLineChars="100"/>
        <w:jc w:val="center"/>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 xml:space="preserve">                                2024年</w:t>
      </w:r>
      <w:r>
        <w:rPr>
          <w:rFonts w:hint="eastAsia" w:ascii="仿宋_GB2312" w:hAnsi="仿宋_GB2312" w:eastAsia="仿宋_GB2312" w:cs="仿宋_GB2312"/>
          <w:kern w:val="0"/>
          <w:sz w:val="32"/>
          <w:szCs w:val="32"/>
          <w:lang w:val="en-US" w:eastAsia="zh-CN" w:bidi="ar"/>
        </w:rPr>
        <w:t>7</w:t>
      </w:r>
      <w:r>
        <w:rPr>
          <w:rFonts w:hint="eastAsia" w:ascii="仿宋_GB2312" w:hAnsi="仿宋_GB2312" w:eastAsia="仿宋_GB2312" w:cs="仿宋_GB2312"/>
          <w:kern w:val="0"/>
          <w:sz w:val="32"/>
          <w:szCs w:val="32"/>
          <w:lang w:bidi="ar"/>
        </w:rPr>
        <w:t>月</w:t>
      </w:r>
      <w:r>
        <w:rPr>
          <w:rFonts w:hint="eastAsia" w:ascii="仿宋_GB2312" w:hAnsi="仿宋_GB2312" w:eastAsia="仿宋_GB2312" w:cs="仿宋_GB2312"/>
          <w:kern w:val="0"/>
          <w:sz w:val="32"/>
          <w:szCs w:val="32"/>
          <w:lang w:val="en-US" w:eastAsia="zh-CN" w:bidi="ar"/>
        </w:rPr>
        <w:t>12</w:t>
      </w:r>
      <w:r>
        <w:rPr>
          <w:rFonts w:hint="eastAsia" w:ascii="仿宋_GB2312" w:hAnsi="仿宋_GB2312" w:eastAsia="仿宋_GB2312" w:cs="仿宋_GB2312"/>
          <w:kern w:val="0"/>
          <w:sz w:val="32"/>
          <w:szCs w:val="32"/>
          <w:lang w:bidi="ar"/>
        </w:rPr>
        <w:t>日</w:t>
      </w:r>
    </w:p>
    <w:p>
      <w:pPr>
        <w:ind w:firstLine="320" w:firstLineChars="100"/>
        <w:jc w:val="center"/>
        <w:rPr>
          <w:rFonts w:ascii="仿宋_GB2312" w:hAnsi="仿宋_GB2312" w:eastAsia="仿宋_GB2312" w:cs="仿宋_GB2312"/>
          <w:kern w:val="0"/>
          <w:sz w:val="32"/>
          <w:szCs w:val="32"/>
          <w:lang w:bidi="ar"/>
        </w:rPr>
      </w:pPr>
    </w:p>
    <w:p>
      <w:pPr>
        <w:ind w:firstLine="320" w:firstLineChars="100"/>
        <w:jc w:val="center"/>
        <w:rPr>
          <w:rFonts w:ascii="仿宋_GB2312" w:hAnsi="仿宋_GB2312" w:eastAsia="仿宋_GB2312" w:cs="仿宋_GB2312"/>
          <w:kern w:val="0"/>
          <w:sz w:val="32"/>
          <w:szCs w:val="32"/>
          <w:lang w:bidi="ar"/>
        </w:rPr>
      </w:pPr>
    </w:p>
    <w:p>
      <w:pPr>
        <w:ind w:firstLine="320" w:firstLineChars="100"/>
        <w:jc w:val="center"/>
        <w:rPr>
          <w:rFonts w:ascii="仿宋_GB2312" w:hAnsi="仿宋_GB2312" w:eastAsia="仿宋_GB2312" w:cs="仿宋_GB2312"/>
          <w:kern w:val="0"/>
          <w:sz w:val="32"/>
          <w:szCs w:val="32"/>
          <w:lang w:bidi="ar"/>
        </w:rPr>
        <w:sectPr>
          <w:pgSz w:w="11906" w:h="16838"/>
          <w:pgMar w:top="1440" w:right="1800" w:bottom="1440" w:left="1800" w:header="851" w:footer="992" w:gutter="0"/>
          <w:cols w:space="425" w:num="1"/>
          <w:docGrid w:type="lines" w:linePitch="312" w:charSpace="0"/>
        </w:sectPr>
      </w:pPr>
    </w:p>
    <w:p>
      <w:pPr>
        <w:ind w:firstLine="320" w:firstLineChars="100"/>
        <w:jc w:val="left"/>
        <w:rPr>
          <w:rFonts w:ascii="仿宋_GB2312" w:hAnsi="仿宋_GB2312" w:eastAsia="仿宋_GB2312" w:cs="仿宋_GB2312"/>
          <w:kern w:val="0"/>
          <w:sz w:val="32"/>
          <w:szCs w:val="32"/>
          <w:lang w:bidi="ar"/>
        </w:rPr>
      </w:pPr>
      <w:r>
        <w:rPr>
          <w:rFonts w:ascii="仿宋_GB2312" w:hAnsi="仿宋_GB2312" w:eastAsia="仿宋_GB2312" w:cs="仿宋_GB2312"/>
          <w:kern w:val="0"/>
          <w:sz w:val="32"/>
          <w:szCs w:val="32"/>
          <w:lang w:bidi="ar"/>
        </w:rPr>
        <w:t>附件：</w:t>
      </w:r>
      <w:r>
        <w:rPr>
          <w:rFonts w:hint="eastAsia" w:ascii="仿宋_GB2312" w:hAnsi="仿宋_GB2312" w:eastAsia="仿宋_GB2312" w:cs="仿宋_GB2312"/>
          <w:kern w:val="0"/>
          <w:sz w:val="32"/>
          <w:szCs w:val="32"/>
          <w:lang w:bidi="ar"/>
        </w:rPr>
        <w:t>技术标准要求</w:t>
      </w:r>
    </w:p>
    <w:tbl>
      <w:tblPr>
        <w:tblStyle w:val="7"/>
        <w:tblW w:w="8960" w:type="dxa"/>
        <w:jc w:val="center"/>
        <w:tblLayout w:type="autofit"/>
        <w:tblCellMar>
          <w:top w:w="0" w:type="dxa"/>
          <w:left w:w="108" w:type="dxa"/>
          <w:bottom w:w="0" w:type="dxa"/>
          <w:right w:w="108" w:type="dxa"/>
        </w:tblCellMar>
      </w:tblPr>
      <w:tblGrid>
        <w:gridCol w:w="660"/>
        <w:gridCol w:w="660"/>
        <w:gridCol w:w="6237"/>
        <w:gridCol w:w="708"/>
        <w:gridCol w:w="695"/>
      </w:tblGrid>
      <w:tr>
        <w:tblPrEx>
          <w:tblCellMar>
            <w:top w:w="0" w:type="dxa"/>
            <w:left w:w="108" w:type="dxa"/>
            <w:bottom w:w="0" w:type="dxa"/>
            <w:right w:w="108" w:type="dxa"/>
          </w:tblCellMar>
        </w:tblPrEx>
        <w:trPr>
          <w:trHeight w:val="480"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序号</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设备名称</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规格参数</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数量</w:t>
            </w:r>
          </w:p>
        </w:tc>
        <w:tc>
          <w:tcPr>
            <w:tcW w:w="6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单位</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一</w:t>
            </w:r>
          </w:p>
        </w:tc>
        <w:tc>
          <w:tcPr>
            <w:tcW w:w="830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机动车车牌识别设备</w:t>
            </w:r>
          </w:p>
        </w:tc>
      </w:tr>
      <w:tr>
        <w:tblPrEx>
          <w:tblCellMar>
            <w:top w:w="0" w:type="dxa"/>
            <w:left w:w="108" w:type="dxa"/>
            <w:bottom w:w="0" w:type="dxa"/>
            <w:right w:w="108" w:type="dxa"/>
          </w:tblCellMar>
        </w:tblPrEx>
        <w:trPr>
          <w:trHeight w:val="816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车牌识别一体机</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b/>
                <w:color w:val="000000"/>
                <w:kern w:val="0"/>
                <w:sz w:val="20"/>
                <w:szCs w:val="20"/>
              </w:rPr>
            </w:pPr>
            <w:r>
              <w:rPr>
                <w:rFonts w:hint="eastAsia" w:ascii="宋体" w:hAnsi="宋体" w:eastAsia="宋体" w:cs="宋体"/>
                <w:b/>
                <w:color w:val="000000"/>
                <w:kern w:val="0"/>
                <w:sz w:val="20"/>
                <w:szCs w:val="20"/>
              </w:rPr>
              <w:t>车牌识别相机像素大于等于500万像素</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产品基本参数:</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无需主板，脱机语音，脱机显示，云端收费,远程照片调试、电脑手机同步管理、逃费车辆信息金额统计、逃费车辆视频回放、逃费车辆照片记录、APP手机查看通道视频、照片、收费金额、发放优惠卷、手机端纠正车牌、手机端人工收费、扩展功能（遥控器现金收费开闸、遥控器替代电脑收费、可以统计保安收费情况、可以遥控器更换保安、限制保安遥控器远程开闸等）</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无需安装APP软件即可使用支付宝、微信支付、银联等识别、显示、补光一体式设计，安装方便</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显示屏采用进口灯珠，超高亮度，户外远距离也可清晰分辨四行字体全彩显示，车牌、停车时长、应缴费用、剩余车位、月租有效期、储值余额等信息一目了然;红绿色字体区分显示，显示更清晰无需转动立柱即可改变摄像机的方向</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显示区尺寸≥192*192MM；红绿灯尺寸≥120*190MMC5；拍率 ≥99.9%；识别率 ≥99.8%；适应车速 0-40 公里/小时</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车牌识别类型 普通蓝牌、单双层黄牌、新能源、单双层警车、新武警、单双层军牌、新使馆、</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教练车、港澳进出大陆车牌、应急车牌、民航、特殊车牌等</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车牌识别特征 车牌号、颜色、宽度、置信度</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车牌防伪 支持异常车牌（手机拍照、打印）告警，准确率≥95%</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无牌车触发 支持无牌车视频触发，准确率 95%</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车型识别</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支持不低于 7 种车型识别（轿车、SUV、MPV、小型客车、大型客车、小型货车、大型货车），准确率≥98%</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车牌白名单 支持精准、智能模糊匹配白名单车牌规则</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智能校准 支持精准或以通配符的方式，智能校准车牌号及车牌类型及颜色</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264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道闸</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全齿轮减速传动，直流无刷电机，防水抗老化外箱，遇阻反弹功能，水平垂直位置调节，屏蔽无效信号，两种行车模式，多种网络通讯接口，支持车队模式</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技术参数：输入电压：220V±10%  50HZ</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环境湿度：≤93%  不凝露；板材厚度：冷轧板≥1.5厚</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遥控器接入数量：≤10个；机芯配置：≥150W-0.8秒</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电机参数：DC 24V，150W；速度范围：0.8-6秒</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额定电压：AC220V  50HZ；输入接口：干接点开关信号</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运行寿命：≥500万次起落；闸杆中心高度：780mm±5mm</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闸杆限长：≤6米；主轴扭矩参数：≥3.0KG  f.m</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144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雷达检测器</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 xml:space="preserve">信号输出：地感和公共（信号开关量）；车辆检测概率：&gt;99.99% ；行人检测概率：&gt;99%； </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电压：DC 9-36V（标准12V）；功耗：</w:t>
            </w:r>
            <w:r>
              <w:rPr>
                <w:rFonts w:ascii="宋体" w:hAnsi="宋体" w:eastAsia="宋体" w:cs="宋体"/>
                <w:color w:val="000000"/>
                <w:kern w:val="0"/>
                <w:sz w:val="20"/>
                <w:szCs w:val="20"/>
              </w:rPr>
              <w:t>≤</w:t>
            </w:r>
            <w:r>
              <w:rPr>
                <w:rFonts w:hint="eastAsia" w:ascii="宋体" w:hAnsi="宋体" w:eastAsia="宋体" w:cs="宋体"/>
                <w:color w:val="000000"/>
                <w:kern w:val="0"/>
                <w:sz w:val="20"/>
                <w:szCs w:val="20"/>
              </w:rPr>
              <w:t>0.72W</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温度范围：-40℃ -- +85℃；平均无故障时间(MTBF)</w:t>
            </w:r>
            <w:r>
              <w:rPr>
                <w:rFonts w:hint="eastAsia"/>
              </w:rPr>
              <w:t xml:space="preserve"> </w:t>
            </w:r>
            <w:r>
              <w:rPr>
                <w:rFonts w:hint="eastAsia" w:ascii="宋体" w:hAnsi="宋体" w:eastAsia="宋体" w:cs="宋体"/>
                <w:color w:val="000000"/>
                <w:kern w:val="0"/>
                <w:sz w:val="20"/>
                <w:szCs w:val="20"/>
              </w:rPr>
              <w:t>≥24000小时</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4</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管理主机</w:t>
            </w:r>
          </w:p>
        </w:tc>
        <w:tc>
          <w:tcPr>
            <w:tcW w:w="62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配置不低于：I3 9100/8G 2666/240G 固态硬盘/21.5寸</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819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5</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管理软件</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停车场管理系统采用云端服务，支持多停车场集中管理，系统软件分为总管理平台、 管理平台、门岗操作台，并支持微信、 支付宝、 ETC、现金等多种收费方式，支持场内支付无感离场。 收费标准可自 行设置 ，可设定车辆类型（临时、月租、 储值、车牌颜色等）不同类型 执行不同收费标准。</w:t>
            </w:r>
          </w:p>
          <w:p>
            <w:pPr>
              <w:widowControl/>
              <w:jc w:val="left"/>
              <w:rPr>
                <w:rFonts w:hint="eastAsia" w:ascii="宋体" w:hAnsi="宋体" w:eastAsia="宋体" w:cs="宋体"/>
                <w:b/>
                <w:color w:val="000000"/>
                <w:kern w:val="0"/>
                <w:sz w:val="20"/>
                <w:szCs w:val="20"/>
                <w:lang w:eastAsia="zh-CN"/>
              </w:rPr>
            </w:pPr>
            <w:r>
              <w:rPr>
                <w:rFonts w:hint="eastAsia" w:ascii="宋体" w:hAnsi="宋体" w:eastAsia="宋体" w:cs="宋体"/>
                <w:b/>
                <w:color w:val="000000"/>
                <w:kern w:val="0"/>
                <w:sz w:val="20"/>
                <w:szCs w:val="20"/>
              </w:rPr>
              <w:t>*也可针对客户需求定制功能。 车牌识别采用≥500万像素相机，识别率≥99.8%。（需提供检测报告）</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管理应用层：智慧停车服务平台总管理端、 子管理端、 门岗操作台、 支付H5，APP。</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业务处理层：业务流程处理、数据处理服务、设备通讯服务、数据存储。网络通讯层： 现场网络、 云端服务器。</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现场设备控制层：车牌识别相机、ETC网关设备。</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底层设备： 自动道闸、 LED显示屏、 语音设备、 车辆检测器。</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总管理端：主要是对各个停车数据以及财务数 据的查看和对各个子管理端账号权 限分配；</w:t>
            </w:r>
          </w:p>
          <w:p>
            <w:pPr>
              <w:widowControl/>
              <w:jc w:val="left"/>
              <w:rPr>
                <w:rFonts w:hint="eastAsia" w:ascii="宋体" w:hAnsi="宋体" w:eastAsia="宋体" w:cs="宋体"/>
                <w:b/>
                <w:color w:val="000000"/>
                <w:kern w:val="0"/>
                <w:sz w:val="20"/>
                <w:szCs w:val="20"/>
                <w:lang w:eastAsia="zh-CN"/>
              </w:rPr>
            </w:pPr>
            <w:r>
              <w:rPr>
                <w:rFonts w:hint="eastAsia" w:ascii="宋体" w:hAnsi="宋体" w:eastAsia="宋体" w:cs="宋体"/>
                <w:b/>
                <w:color w:val="000000"/>
                <w:kern w:val="0"/>
                <w:sz w:val="20"/>
                <w:szCs w:val="20"/>
              </w:rPr>
              <w:t>*子管理端主要功能模块：单个停车情况的管理 ，停车记录查 看、职工人员添加、 车牌录入、 收 费记录查看、 收费标准设置、门岗 人员设置，优惠券发放。（需提供软件截图）</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每辆车经过出口时，识别到车牌号，则会在工作台页面显示。页面展示出入口照片、车牌号、标识、入场时间、出场时间、停车状态、支付状态 ，支付方式、停车场系信息（停车场名称、 车位数、当前空车位数）、门岗信息（值班人员、值班时间、出口名称、 临停车次、免费车次、停车收入、以及本次计费信息（停车时长、收费时长），停车记录的查看。</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可扩展功能：</w:t>
            </w:r>
          </w:p>
          <w:p>
            <w:pPr>
              <w:widowControl/>
              <w:jc w:val="left"/>
              <w:rPr>
                <w:rFonts w:hint="eastAsia" w:ascii="宋体" w:hAnsi="宋体" w:eastAsia="宋体" w:cs="宋体"/>
                <w:b/>
                <w:color w:val="000000"/>
                <w:kern w:val="0"/>
                <w:sz w:val="20"/>
                <w:szCs w:val="20"/>
                <w:lang w:eastAsia="zh-CN"/>
              </w:rPr>
            </w:pPr>
            <w:r>
              <w:rPr>
                <w:rFonts w:hint="eastAsia" w:ascii="宋体" w:hAnsi="宋体" w:eastAsia="宋体" w:cs="宋体"/>
                <w:b/>
                <w:color w:val="000000"/>
                <w:kern w:val="0"/>
                <w:sz w:val="20"/>
                <w:szCs w:val="20"/>
              </w:rPr>
              <w:t>*1.可在现有设备基础上，只在出口车道增加ETC专用RSU，实现出场ETC扣费，提升车辆出场效率，提高停车服务水平(</w:t>
            </w:r>
            <w:r>
              <w:rPr>
                <w:rFonts w:ascii="宋体" w:hAnsi="宋体" w:eastAsia="宋体" w:cs="宋体"/>
                <w:b/>
                <w:color w:val="000000"/>
                <w:kern w:val="0"/>
                <w:sz w:val="20"/>
                <w:szCs w:val="20"/>
              </w:rPr>
              <w:t>提供软件截图</w:t>
            </w:r>
            <w:r>
              <w:rPr>
                <w:rFonts w:hint="eastAsia" w:ascii="宋体" w:hAnsi="宋体" w:eastAsia="宋体" w:cs="宋体"/>
                <w:b/>
                <w:color w:val="000000"/>
                <w:kern w:val="0"/>
                <w:sz w:val="20"/>
                <w:szCs w:val="20"/>
              </w:rPr>
              <w:t>)</w:t>
            </w:r>
          </w:p>
          <w:p>
            <w:pPr>
              <w:widowControl/>
              <w:jc w:val="left"/>
              <w:rPr>
                <w:rFonts w:hint="eastAsia" w:ascii="宋体" w:hAnsi="宋体" w:eastAsia="宋体" w:cs="宋体"/>
                <w:b/>
                <w:color w:val="000000"/>
                <w:kern w:val="0"/>
                <w:sz w:val="20"/>
                <w:szCs w:val="20"/>
                <w:lang w:eastAsia="zh-CN"/>
              </w:rPr>
            </w:pPr>
            <w:r>
              <w:rPr>
                <w:rFonts w:hint="eastAsia" w:ascii="宋体" w:hAnsi="宋体" w:eastAsia="宋体" w:cs="宋体"/>
                <w:b/>
                <w:color w:val="000000"/>
                <w:kern w:val="0"/>
                <w:sz w:val="20"/>
                <w:szCs w:val="20"/>
              </w:rPr>
              <w:t>2.在现有功能基础之上可针对客户需求定制功能，进行功能拓展</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3.远程可视对讲。在现有设备基础上可以添加对讲设备，集成双向语音对讲，在呼叫、接听的同时，管理员与 车主远程可视化对讲，可以观看到现场监控画面</w:t>
            </w:r>
          </w:p>
          <w:p>
            <w:pPr>
              <w:widowControl/>
              <w:jc w:val="left"/>
              <w:rPr>
                <w:rFonts w:hint="eastAsia" w:ascii="宋体" w:hAnsi="宋体" w:eastAsia="宋体" w:cs="宋体"/>
                <w:b/>
                <w:color w:val="000000"/>
                <w:kern w:val="0"/>
                <w:sz w:val="20"/>
                <w:szCs w:val="20"/>
                <w:lang w:eastAsia="zh-CN"/>
              </w:rPr>
            </w:pPr>
            <w:r>
              <w:rPr>
                <w:rFonts w:ascii="宋体" w:hAnsi="宋体" w:eastAsia="宋体" w:cs="宋体"/>
                <w:b/>
                <w:color w:val="000000"/>
                <w:kern w:val="0"/>
                <w:sz w:val="20"/>
                <w:szCs w:val="20"/>
              </w:rPr>
              <w:t>*</w:t>
            </w:r>
            <w:r>
              <w:rPr>
                <w:rFonts w:hint="eastAsia" w:ascii="宋体" w:hAnsi="宋体" w:eastAsia="宋体" w:cs="宋体"/>
                <w:b/>
                <w:color w:val="000000"/>
                <w:kern w:val="0"/>
                <w:sz w:val="20"/>
                <w:szCs w:val="20"/>
              </w:rPr>
              <w:t>4.一个平台进行多业务板块的集中化管理管控，云停车，无人值守，ETC，云门禁，人脸识别，二维码门禁，智能通道，云充电，非机动车库，电动车报警摄像机，云报修，物业缴费系统，售水机等功能；（需提供软件截图）</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5.灵活性：可一个或多个出入口的车场进行不同用途的管理，进行出入的控制</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6</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软件加密锁</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解密软件</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r>
      <w:tr>
        <w:tblPrEx>
          <w:tblCellMar>
            <w:top w:w="0" w:type="dxa"/>
            <w:left w:w="108" w:type="dxa"/>
            <w:bottom w:w="0" w:type="dxa"/>
            <w:right w:w="108" w:type="dxa"/>
          </w:tblCellMar>
        </w:tblPrEx>
        <w:trPr>
          <w:trHeight w:val="336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7</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岗亭</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岗亭尺寸：≥1.5米*2米*2.8米</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主料:采用≥50*80-定制锌钢结构型材。</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副料:采用≥80*40-m定制锌钢结构型材。</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门:采用锌钢型材，全玻造型，玻璃为有色玻璃，</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窗:采用铝合金型材。玻璃为有色玻璃</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外封板:采用锌刚板波浪造整。美观耐用。</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内封板:为竹木纤障板装饰墙体，美观安全耐用。</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岗亭顶:用钢龙骨架支撑，定制钢板结构外包造型，顶都体防水处理，中性胶封。</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室内吊顶:用钢龙骨吊顶支撑，扣豪华PVC板，</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底板:采用锌钢管作基础，底部防水防潮沥青板，上铺防滑耐磨地胶。</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配置不少于:一套节能灯、一个插座、一个空调插座、空调架、漏电保护开关、配电箱。</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座</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空调</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不低于1P（国内一线品牌）</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光纤转发器</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千兆，电信级</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对</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10</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网络交换机</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8口千兆交换机</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11</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光纤</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国标，≥1</w:t>
            </w:r>
            <w:r>
              <w:rPr>
                <w:rFonts w:ascii="宋体" w:hAnsi="宋体" w:eastAsia="宋体" w:cs="宋体"/>
                <w:color w:val="000000"/>
                <w:kern w:val="0"/>
                <w:sz w:val="20"/>
                <w:szCs w:val="20"/>
              </w:rPr>
              <w:t>2芯</w:t>
            </w:r>
            <w:r>
              <w:rPr>
                <w:rFonts w:hint="eastAsia" w:ascii="宋体" w:hAnsi="宋体" w:eastAsia="宋体" w:cs="宋体"/>
                <w:color w:val="000000"/>
                <w:kern w:val="0"/>
                <w:sz w:val="20"/>
                <w:szCs w:val="20"/>
              </w:rPr>
              <w:t>单模光纤</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800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网线</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不低于超五类网线，国标无氧铜</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箱</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电源线</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不低于RVV2*1.0，国标</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盘</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14</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BV电线</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国标，不低于2.5平方电线</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300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钢管</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金属钢管直径不低于32MM，壁厚不低于2</w:t>
            </w:r>
            <w:r>
              <w:rPr>
                <w:rFonts w:ascii="宋体" w:hAnsi="宋体" w:eastAsia="宋体" w:cs="宋体"/>
                <w:color w:val="000000"/>
                <w:kern w:val="0"/>
                <w:sz w:val="20"/>
                <w:szCs w:val="20"/>
              </w:rPr>
              <w:t>.5</w:t>
            </w:r>
            <w:r>
              <w:rPr>
                <w:rFonts w:hint="eastAsia" w:ascii="宋体" w:hAnsi="宋体" w:eastAsia="宋体" w:cs="宋体"/>
                <w:color w:val="000000"/>
                <w:kern w:val="0"/>
                <w:sz w:val="20"/>
                <w:szCs w:val="20"/>
              </w:rPr>
              <w:t>MM</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200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16</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减速带</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定制减速带，安装于道闸前</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17</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护栏</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颜色：白色，高度80CM</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18</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连接杆</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可伸缩1.5-2米</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100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根</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19</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路锥</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反光路锥，不低于65CM高，橡塑材质</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220</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r>
      <w:tr>
        <w:tblPrEx>
          <w:tblCellMar>
            <w:top w:w="0" w:type="dxa"/>
            <w:left w:w="108" w:type="dxa"/>
            <w:bottom w:w="0" w:type="dxa"/>
            <w:right w:w="108" w:type="dxa"/>
          </w:tblCellMar>
        </w:tblPrEx>
        <w:trPr>
          <w:trHeight w:val="48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20</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标识标牌</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按要求定制：入口、出口、限速、通道指示、禁止通行等。</w:t>
            </w:r>
          </w:p>
          <w:p>
            <w:pPr>
              <w:widowControl/>
              <w:jc w:val="left"/>
              <w:rPr>
                <w:rFonts w:ascii="宋体" w:hAnsi="宋体" w:eastAsia="宋体" w:cs="宋体"/>
                <w:color w:val="000000"/>
                <w:kern w:val="0"/>
                <w:sz w:val="20"/>
                <w:szCs w:val="20"/>
              </w:rPr>
            </w:pPr>
            <w:r>
              <w:rPr>
                <w:rFonts w:ascii="宋体" w:hAnsi="宋体" w:eastAsia="宋体" w:cs="宋体"/>
                <w:color w:val="000000"/>
                <w:kern w:val="0"/>
                <w:sz w:val="20"/>
                <w:szCs w:val="20"/>
              </w:rPr>
              <w:t>外观尺寸：</w:t>
            </w:r>
            <w:r>
              <w:rPr>
                <w:rFonts w:hint="eastAsia" w:ascii="宋体" w:hAnsi="宋体" w:eastAsia="宋体" w:cs="宋体"/>
                <w:color w:val="000000"/>
                <w:kern w:val="0"/>
                <w:sz w:val="20"/>
                <w:szCs w:val="20"/>
              </w:rPr>
              <w:t>按甲方要求尺寸、款式、颜色，进行定制</w:t>
            </w:r>
            <w:r>
              <w:rPr>
                <w:rFonts w:ascii="宋体" w:hAnsi="宋体" w:eastAsia="宋体" w:cs="宋体"/>
                <w:color w:val="000000"/>
                <w:kern w:val="0"/>
                <w:sz w:val="20"/>
                <w:szCs w:val="20"/>
              </w:rPr>
              <w:t>；</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要求：</w:t>
            </w:r>
            <w:r>
              <w:rPr>
                <w:rFonts w:ascii="宋体" w:hAnsi="宋体" w:eastAsia="宋体" w:cs="宋体"/>
                <w:color w:val="000000"/>
                <w:kern w:val="0"/>
                <w:sz w:val="20"/>
                <w:szCs w:val="20"/>
              </w:rPr>
              <w:t>安装牢固，考虑后期可移动。</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个</w:t>
            </w:r>
          </w:p>
        </w:tc>
      </w:tr>
      <w:tr>
        <w:tblPrEx>
          <w:tblCellMar>
            <w:top w:w="0" w:type="dxa"/>
            <w:left w:w="108" w:type="dxa"/>
            <w:bottom w:w="0" w:type="dxa"/>
            <w:right w:w="108" w:type="dxa"/>
          </w:tblCellMar>
        </w:tblPrEx>
        <w:trPr>
          <w:trHeight w:val="46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21</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辅材</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设备箱、穿线管等辅材</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二</w:t>
            </w:r>
          </w:p>
        </w:tc>
        <w:tc>
          <w:tcPr>
            <w:tcW w:w="830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人行通道栅栏门</w:t>
            </w:r>
          </w:p>
        </w:tc>
      </w:tr>
      <w:tr>
        <w:tblPrEx>
          <w:tblCellMar>
            <w:top w:w="0" w:type="dxa"/>
            <w:left w:w="108" w:type="dxa"/>
            <w:bottom w:w="0" w:type="dxa"/>
            <w:right w:w="108" w:type="dxa"/>
          </w:tblCellMar>
        </w:tblPrEx>
        <w:trPr>
          <w:trHeight w:val="288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90度平开门</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材料：不低于优质镀锌钢</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门框高度不低于：1470mm，门体宽度不低于：</w:t>
            </w:r>
            <w:r>
              <w:rPr>
                <w:rFonts w:ascii="宋体" w:hAnsi="宋体" w:eastAsia="宋体" w:cs="宋体"/>
                <w:color w:val="000000"/>
                <w:kern w:val="0"/>
                <w:sz w:val="20"/>
                <w:szCs w:val="20"/>
              </w:rPr>
              <w:t>20</w:t>
            </w:r>
            <w:r>
              <w:rPr>
                <w:rFonts w:hint="eastAsia" w:ascii="宋体" w:hAnsi="宋体" w:eastAsia="宋体" w:cs="宋体"/>
                <w:color w:val="000000"/>
                <w:kern w:val="0"/>
                <w:sz w:val="20"/>
                <w:szCs w:val="20"/>
              </w:rPr>
              <w:t>00-3</w:t>
            </w:r>
            <w:r>
              <w:rPr>
                <w:rFonts w:ascii="宋体" w:hAnsi="宋体" w:eastAsia="宋体" w:cs="宋体"/>
                <w:color w:val="000000"/>
                <w:kern w:val="0"/>
                <w:sz w:val="20"/>
                <w:szCs w:val="20"/>
              </w:rPr>
              <w:t>1</w:t>
            </w:r>
            <w:r>
              <w:rPr>
                <w:rFonts w:hint="eastAsia" w:ascii="宋体" w:hAnsi="宋体" w:eastAsia="宋体" w:cs="宋体"/>
                <w:color w:val="000000"/>
                <w:kern w:val="0"/>
                <w:sz w:val="20"/>
                <w:szCs w:val="20"/>
              </w:rPr>
              <w:t>00mm</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立柱不低于：100*100*1.5mm，L型副立柱不低于：90*90*1.5mm</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门体框料不低于：60*60*1.2mm，伸缩横料不低于：50*50*1.2mm</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门体竖料不低于：40*40*1.2mm，开门角度：拉臂旋转角度:0~170度</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额定电压：DC24V，额定电流：10A±10%</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额定功率：60W，静态功率：0.5W（无电磁锁）</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开/关门速度：1-9档可调（对应开门时间10-3S）</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开门保持时间：1-99秒，运行环境温度：-10℃-50℃</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运行环境湿度：30%-95%（无结露）；运行环境大气压：700hPa-1060hPa</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3</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人体感应器</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感应人体，自动开门</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6</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台</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辅材</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定制管线及安装辅材</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三</w:t>
            </w:r>
          </w:p>
        </w:tc>
        <w:tc>
          <w:tcPr>
            <w:tcW w:w="830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color w:val="000000"/>
                <w:kern w:val="0"/>
                <w:sz w:val="20"/>
                <w:szCs w:val="20"/>
              </w:rPr>
            </w:pPr>
            <w:r>
              <w:rPr>
                <w:rFonts w:hint="eastAsia" w:ascii="宋体" w:hAnsi="宋体" w:eastAsia="宋体" w:cs="宋体"/>
                <w:b/>
                <w:bCs/>
                <w:color w:val="000000"/>
                <w:kern w:val="0"/>
                <w:sz w:val="20"/>
                <w:szCs w:val="20"/>
              </w:rPr>
              <w:t>无轨机器人伸缩门</w:t>
            </w:r>
          </w:p>
        </w:tc>
      </w:tr>
      <w:tr>
        <w:tblPrEx>
          <w:tblCellMar>
            <w:top w:w="0" w:type="dxa"/>
            <w:left w:w="108" w:type="dxa"/>
            <w:bottom w:w="0" w:type="dxa"/>
            <w:right w:w="108" w:type="dxa"/>
          </w:tblCellMar>
        </w:tblPrEx>
        <w:trPr>
          <w:trHeight w:val="648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段滑门</w:t>
            </w:r>
          </w:p>
        </w:tc>
        <w:tc>
          <w:tcPr>
            <w:tcW w:w="623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门体展开长度不低于11米，收缩长度不高于3.5米，净空不低于7米，门体轨道宽度不宽于1</w:t>
            </w:r>
            <w:r>
              <w:rPr>
                <w:rFonts w:ascii="宋体" w:hAnsi="宋体" w:eastAsia="宋体" w:cs="宋体"/>
                <w:color w:val="000000"/>
                <w:kern w:val="0"/>
                <w:sz w:val="20"/>
                <w:szCs w:val="20"/>
              </w:rPr>
              <w:t>000</w:t>
            </w:r>
            <w:r>
              <w:rPr>
                <w:rFonts w:hint="eastAsia" w:ascii="宋体" w:hAnsi="宋体" w:eastAsia="宋体" w:cs="宋体"/>
                <w:color w:val="000000"/>
                <w:kern w:val="0"/>
                <w:sz w:val="20"/>
                <w:szCs w:val="20"/>
              </w:rPr>
              <w:t>MM；门体高度不高于1</w:t>
            </w: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米，主梁不低于：150×70×4.5，上梁不低于：118×58×2-3； 下梁不低于：126×58×2-5，主立柱不低于：86×66×3.0</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副立柱不低于：62×56×2.0，竖条不低于：40×40×1.0；</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表面处理：阿克苏静电喷涂</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1、门体采用高强度铝合金6061-T6材质，永不生锈，无焊接，整体标准化生产模块式组装，坚固耐用，维修方便快速。</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2、门体底盘宽，抗风能力强，运行平稳；门排自行拉伸、前后收缩；净空开启路面范围内无需预埋路轨</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3、门体开启净空大，关门到位缩位小，门排片数≥4片，门体可做左右对开，解决超大门口净空要求。</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4、门排大梁和滑轨分离静音设计，保证门体顺利伸缩，具有独特的防雨，雪，沙尘进入设计。</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5、控制系统对电机有过热，过流、过压保护,整体延长产品使用寿命。</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6、门体采用循环走线技术，电缆隐藏于上梁专用导线槽内，工业拖链保护电缆，确保电源正常输送给驱动系统。</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7、手动离合：驱动器内设有人工手动离合装置，停电时可以通过人员打开离合器推动门体。</w:t>
            </w:r>
          </w:p>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8、运行数据：门体运行速度：&gt;12m/min；电机：AC220V/50HZ</w:t>
            </w:r>
          </w:p>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功率：550W；电机转速不低于：1420转/分；减速器输出转速不低于33转/分；绝缘等级不低于：E级；运行正常噪音不高于：50db</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米</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无轨电机</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含机头控制系统</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2</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套</w:t>
            </w:r>
          </w:p>
        </w:tc>
      </w:tr>
      <w:tr>
        <w:tblPrEx>
          <w:tblCellMar>
            <w:top w:w="0" w:type="dxa"/>
            <w:left w:w="108" w:type="dxa"/>
            <w:bottom w:w="0" w:type="dxa"/>
            <w:right w:w="108" w:type="dxa"/>
          </w:tblCellMar>
        </w:tblPrEx>
        <w:trPr>
          <w:trHeight w:val="49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3</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辅材</w:t>
            </w:r>
          </w:p>
        </w:tc>
        <w:tc>
          <w:tcPr>
            <w:tcW w:w="62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定制管线及安装辅材</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w:t>
            </w:r>
          </w:p>
        </w:tc>
        <w:tc>
          <w:tcPr>
            <w:tcW w:w="69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w:t>
            </w:r>
          </w:p>
        </w:tc>
      </w:tr>
    </w:tbl>
    <w:p>
      <w:pPr>
        <w:ind w:firstLine="240" w:firstLineChars="100"/>
        <w:jc w:val="center"/>
        <w:rPr>
          <w:rFonts w:ascii="仿宋_GB2312" w:hAnsi="仿宋_GB2312" w:eastAsia="仿宋_GB2312" w:cs="仿宋_GB2312"/>
          <w:kern w:val="0"/>
          <w:sz w:val="24"/>
          <w:szCs w:val="32"/>
          <w:lang w:bidi="ar"/>
        </w:rPr>
      </w:pPr>
    </w:p>
    <w:p>
      <w:pPr>
        <w:spacing w:after="156" w:afterLines="50" w:line="360" w:lineRule="auto"/>
        <w:jc w:val="center"/>
        <w:rPr>
          <w:rFonts w:ascii="黑体" w:hAnsi="宋体" w:eastAsia="黑体" w:cs="黑体"/>
          <w:bCs/>
          <w:sz w:val="36"/>
          <w:szCs w:val="36"/>
        </w:rPr>
      </w:pPr>
      <w:r>
        <w:rPr>
          <w:rFonts w:hint="eastAsia" w:ascii="黑体" w:hAnsi="宋体" w:eastAsia="黑体" w:cs="黑体"/>
          <w:bCs/>
          <w:sz w:val="36"/>
          <w:szCs w:val="36"/>
          <w:lang w:bidi="ar"/>
        </w:rPr>
        <w:t>门关设备设施项目评审标准表（综合评分法）</w:t>
      </w:r>
    </w:p>
    <w:tbl>
      <w:tblPr>
        <w:tblStyle w:val="7"/>
        <w:tblW w:w="9881" w:type="dxa"/>
        <w:jc w:val="center"/>
        <w:tblLayout w:type="autofit"/>
        <w:tblCellMar>
          <w:top w:w="0" w:type="dxa"/>
          <w:left w:w="108" w:type="dxa"/>
          <w:bottom w:w="0" w:type="dxa"/>
          <w:right w:w="108" w:type="dxa"/>
        </w:tblCellMar>
      </w:tblPr>
      <w:tblGrid>
        <w:gridCol w:w="456"/>
        <w:gridCol w:w="18"/>
        <w:gridCol w:w="846"/>
        <w:gridCol w:w="7039"/>
        <w:gridCol w:w="708"/>
        <w:gridCol w:w="814"/>
      </w:tblGrid>
      <w:tr>
        <w:tblPrEx>
          <w:tblCellMar>
            <w:top w:w="0" w:type="dxa"/>
            <w:left w:w="108" w:type="dxa"/>
            <w:bottom w:w="0" w:type="dxa"/>
            <w:right w:w="108" w:type="dxa"/>
          </w:tblCellMar>
        </w:tblPrEx>
        <w:trPr>
          <w:trHeight w:val="784" w:hRule="atLeast"/>
          <w:jc w:val="center"/>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序号</w:t>
            </w:r>
          </w:p>
        </w:tc>
        <w:tc>
          <w:tcPr>
            <w:tcW w:w="864" w:type="dxa"/>
            <w:gridSpan w:val="2"/>
            <w:tcBorders>
              <w:top w:val="single" w:color="auto" w:sz="4" w:space="0"/>
              <w:left w:val="nil"/>
              <w:bottom w:val="single" w:color="auto" w:sz="6"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评审项目</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center"/>
              <w:rPr>
                <w:rFonts w:ascii="宋体" w:hAnsi="宋体" w:eastAsia="宋体" w:cs="宋体"/>
                <w:sz w:val="24"/>
                <w:lang w:bidi="ar"/>
              </w:rPr>
            </w:pPr>
            <w:r>
              <w:rPr>
                <w:rFonts w:hint="eastAsia" w:ascii="宋体" w:hAnsi="宋体" w:eastAsia="宋体" w:cs="宋体"/>
                <w:sz w:val="24"/>
                <w:lang w:bidi="ar"/>
              </w:rPr>
              <w:t>评审内容及规则</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标准分值</w:t>
            </w:r>
          </w:p>
        </w:tc>
        <w:tc>
          <w:tcPr>
            <w:tcW w:w="814"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说明</w:t>
            </w:r>
          </w:p>
        </w:tc>
      </w:tr>
      <w:tr>
        <w:tblPrEx>
          <w:tblCellMar>
            <w:top w:w="0" w:type="dxa"/>
            <w:left w:w="108" w:type="dxa"/>
            <w:bottom w:w="0" w:type="dxa"/>
            <w:right w:w="108" w:type="dxa"/>
          </w:tblCellMar>
        </w:tblPrEx>
        <w:trPr>
          <w:trHeight w:val="1285" w:hRule="atLeast"/>
          <w:jc w:val="center"/>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1</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企业资质</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具有有效的安全生产许可证，得</w:t>
            </w:r>
            <w:r>
              <w:rPr>
                <w:rFonts w:ascii="宋体" w:hAnsi="宋体" w:eastAsia="宋体" w:cs="宋体"/>
                <w:lang w:bidi="ar"/>
              </w:rPr>
              <w:t>3</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建筑智能化专业承包二级及以上，得</w:t>
            </w:r>
            <w:r>
              <w:rPr>
                <w:rFonts w:ascii="宋体" w:hAnsi="宋体" w:eastAsia="宋体" w:cs="宋体"/>
                <w:lang w:bidi="ar"/>
              </w:rPr>
              <w:t>3</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机电工程专业承包三级及以上，得</w:t>
            </w:r>
            <w:r>
              <w:rPr>
                <w:rFonts w:ascii="宋体" w:hAnsi="宋体" w:eastAsia="宋体" w:cs="宋体"/>
                <w:lang w:bidi="ar"/>
              </w:rPr>
              <w:t>3</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消防专业承包二级及以上，得2分；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装饰装修专业承包二级及以上，得2分；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环保专业承包三级及以上，得2分；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最高得</w:t>
            </w:r>
            <w:r>
              <w:rPr>
                <w:rFonts w:ascii="宋体" w:hAnsi="宋体" w:eastAsia="宋体" w:cs="宋体"/>
                <w:lang w:bidi="ar"/>
              </w:rPr>
              <w:t>标准15</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（投标文件中附加盖供应商公章的复印件）</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15</w:t>
            </w:r>
          </w:p>
        </w:tc>
        <w:tc>
          <w:tcPr>
            <w:tcW w:w="814" w:type="dxa"/>
            <w:tcBorders>
              <w:top w:val="single" w:color="auto" w:sz="4" w:space="0"/>
              <w:left w:val="single" w:color="auto" w:sz="4" w:space="0"/>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1285" w:hRule="atLeast"/>
          <w:jc w:val="center"/>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2</w:t>
            </w:r>
          </w:p>
        </w:tc>
        <w:tc>
          <w:tcPr>
            <w:tcW w:w="86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厂家实力</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具有自主研发停车设备、门禁设备相关的《计算机软件著作权证书》，每项得0</w:t>
            </w:r>
            <w:r>
              <w:rPr>
                <w:rFonts w:ascii="宋体" w:hAnsi="宋体" w:eastAsia="宋体" w:cs="宋体"/>
                <w:lang w:bidi="ar"/>
              </w:rPr>
              <w:t>.</w:t>
            </w:r>
            <w:r>
              <w:rPr>
                <w:rFonts w:hint="eastAsia" w:ascii="宋体" w:hAnsi="宋体" w:eastAsia="宋体" w:cs="宋体"/>
                <w:lang w:bidi="ar"/>
              </w:rPr>
              <w:t>5分；最高得</w:t>
            </w:r>
            <w:r>
              <w:rPr>
                <w:rFonts w:ascii="宋体" w:hAnsi="宋体" w:eastAsia="宋体" w:cs="宋体"/>
                <w:lang w:bidi="ar"/>
              </w:rPr>
              <w:t>9</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获得国家知识产权局颁发的停车设备、门禁设备相关的专利证书，每项得0.5分；最高得</w:t>
            </w:r>
            <w:r>
              <w:rPr>
                <w:rFonts w:ascii="宋体" w:hAnsi="宋体" w:eastAsia="宋体" w:cs="宋体"/>
                <w:lang w:bidi="ar"/>
              </w:rPr>
              <w:t>3</w:t>
            </w:r>
            <w:r>
              <w:rPr>
                <w:rFonts w:hint="eastAsia" w:ascii="宋体" w:hAnsi="宋体" w:eastAsia="宋体" w:cs="宋体"/>
                <w:lang w:bidi="ar"/>
              </w:rPr>
              <w:t>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《详见附件：设备参数要求》中，满足加*加粗字体参数的，加</w:t>
            </w:r>
            <w:r>
              <w:rPr>
                <w:rFonts w:ascii="宋体" w:hAnsi="宋体" w:eastAsia="宋体" w:cs="宋体"/>
                <w:lang w:bidi="ar"/>
              </w:rPr>
              <w:t>1分，不满足扣</w:t>
            </w:r>
            <w:r>
              <w:rPr>
                <w:rFonts w:hint="eastAsia" w:ascii="宋体" w:hAnsi="宋体" w:eastAsia="宋体" w:cs="宋体"/>
                <w:lang w:bidi="ar"/>
              </w:rPr>
              <w:t>1分，最多加4分；（按要求提供证明文件）</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（投标文件中附加盖厂家公章的复印件）</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1</w:t>
            </w:r>
            <w:r>
              <w:rPr>
                <w:rFonts w:ascii="宋体" w:hAnsi="宋体" w:eastAsia="宋体" w:cs="宋体"/>
                <w:sz w:val="24"/>
                <w:lang w:bidi="ar"/>
              </w:rPr>
              <w:t>6</w:t>
            </w:r>
          </w:p>
        </w:tc>
        <w:tc>
          <w:tcPr>
            <w:tcW w:w="814" w:type="dxa"/>
            <w:tcBorders>
              <w:top w:val="single" w:color="auto" w:sz="4" w:space="0"/>
              <w:left w:val="single" w:color="auto" w:sz="4" w:space="0"/>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479" w:hRule="atLeast"/>
          <w:jc w:val="center"/>
        </w:trPr>
        <w:tc>
          <w:tcPr>
            <w:tcW w:w="456" w:type="dxa"/>
            <w:vMerge w:val="restart"/>
            <w:tcBorders>
              <w:top w:val="single" w:color="auto" w:sz="4" w:space="0"/>
              <w:left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3</w:t>
            </w:r>
          </w:p>
        </w:tc>
        <w:tc>
          <w:tcPr>
            <w:tcW w:w="86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财务状况</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会计事务所出具的2</w:t>
            </w:r>
            <w:r>
              <w:rPr>
                <w:rFonts w:ascii="宋体" w:hAnsi="宋体" w:eastAsia="宋体" w:cs="宋体"/>
                <w:lang w:bidi="ar"/>
              </w:rPr>
              <w:t>023</w:t>
            </w:r>
            <w:r>
              <w:rPr>
                <w:rFonts w:hint="eastAsia" w:ascii="宋体" w:hAnsi="宋体" w:eastAsia="宋体" w:cs="宋体"/>
                <w:lang w:bidi="ar"/>
              </w:rPr>
              <w:t>年财务审计报告，得</w:t>
            </w:r>
            <w:r>
              <w:rPr>
                <w:rFonts w:ascii="宋体" w:hAnsi="宋体" w:eastAsia="宋体" w:cs="宋体"/>
                <w:lang w:bidi="ar"/>
              </w:rPr>
              <w:t>3</w:t>
            </w:r>
            <w:r>
              <w:rPr>
                <w:rFonts w:hint="eastAsia" w:ascii="宋体" w:hAnsi="宋体" w:eastAsia="宋体" w:cs="宋体"/>
                <w:lang w:bidi="ar"/>
              </w:rPr>
              <w:t>分，最高</w:t>
            </w:r>
            <w:r>
              <w:rPr>
                <w:rFonts w:ascii="宋体" w:hAnsi="宋体" w:eastAsia="宋体" w:cs="宋体"/>
                <w:lang w:bidi="ar"/>
              </w:rPr>
              <w:t>3</w:t>
            </w:r>
            <w:r>
              <w:rPr>
                <w:rFonts w:hint="eastAsia" w:ascii="宋体" w:hAnsi="宋体" w:eastAsia="宋体" w:cs="宋体"/>
                <w:lang w:bidi="ar"/>
              </w:rPr>
              <w:t>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3</w:t>
            </w:r>
          </w:p>
        </w:tc>
        <w:tc>
          <w:tcPr>
            <w:tcW w:w="814" w:type="dxa"/>
            <w:tcBorders>
              <w:top w:val="single" w:color="auto" w:sz="4" w:space="0"/>
              <w:left w:val="single" w:color="auto" w:sz="4" w:space="0"/>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415" w:hRule="atLeast"/>
          <w:jc w:val="center"/>
        </w:trPr>
        <w:tc>
          <w:tcPr>
            <w:tcW w:w="456" w:type="dxa"/>
            <w:vMerge w:val="continue"/>
            <w:tcBorders>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6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2.2</w:t>
            </w:r>
            <w:r>
              <w:rPr>
                <w:rFonts w:ascii="宋体" w:hAnsi="宋体" w:eastAsia="宋体" w:cs="宋体"/>
                <w:lang w:bidi="ar"/>
              </w:rPr>
              <w:t>023</w:t>
            </w:r>
            <w:r>
              <w:rPr>
                <w:rFonts w:hint="eastAsia" w:ascii="宋体" w:hAnsi="宋体" w:eastAsia="宋体" w:cs="宋体"/>
                <w:lang w:bidi="ar"/>
              </w:rPr>
              <w:t>年财务盈利状况，盈利的得</w:t>
            </w:r>
            <w:r>
              <w:rPr>
                <w:rFonts w:ascii="宋体" w:hAnsi="宋体" w:eastAsia="宋体" w:cs="宋体"/>
                <w:lang w:bidi="ar"/>
              </w:rPr>
              <w:t>2</w:t>
            </w:r>
            <w:r>
              <w:rPr>
                <w:rFonts w:hint="eastAsia" w:ascii="宋体" w:hAnsi="宋体" w:eastAsia="宋体" w:cs="宋体"/>
                <w:lang w:bidi="ar"/>
              </w:rPr>
              <w:t>分，最高</w:t>
            </w:r>
            <w:r>
              <w:rPr>
                <w:rFonts w:ascii="宋体" w:hAnsi="宋体" w:eastAsia="宋体" w:cs="宋体"/>
                <w:lang w:bidi="ar"/>
              </w:rPr>
              <w:t>2</w:t>
            </w:r>
            <w:r>
              <w:rPr>
                <w:rFonts w:hint="eastAsia" w:ascii="宋体" w:hAnsi="宋体" w:eastAsia="宋体" w:cs="宋体"/>
                <w:lang w:bidi="ar"/>
              </w:rPr>
              <w:t>分，不盈利为0分。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2</w:t>
            </w:r>
          </w:p>
        </w:tc>
        <w:tc>
          <w:tcPr>
            <w:tcW w:w="814" w:type="dxa"/>
            <w:tcBorders>
              <w:top w:val="single" w:color="auto" w:sz="4" w:space="0"/>
              <w:left w:val="single" w:color="auto" w:sz="4" w:space="0"/>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704" w:hRule="atLeast"/>
          <w:jc w:val="center"/>
        </w:trPr>
        <w:tc>
          <w:tcPr>
            <w:tcW w:w="4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4</w:t>
            </w:r>
          </w:p>
        </w:tc>
        <w:tc>
          <w:tcPr>
            <w:tcW w:w="864" w:type="dxa"/>
            <w:gridSpan w:val="2"/>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企业信用</w:t>
            </w:r>
          </w:p>
        </w:tc>
        <w:tc>
          <w:tcPr>
            <w:tcW w:w="7039" w:type="dxa"/>
            <w:tcBorders>
              <w:top w:val="single" w:color="auto" w:sz="4" w:space="0"/>
              <w:left w:val="nil"/>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投标供应商近三年无违法犯罪、无偷税漏税、无失信情况的得</w:t>
            </w:r>
            <w:r>
              <w:rPr>
                <w:rFonts w:ascii="宋体" w:hAnsi="宋体" w:eastAsia="宋体" w:cs="宋体"/>
                <w:lang w:bidi="ar"/>
              </w:rPr>
              <w:t>3</w:t>
            </w:r>
            <w:r>
              <w:rPr>
                <w:rFonts w:hint="eastAsia" w:ascii="宋体" w:hAnsi="宋体" w:eastAsia="宋体" w:cs="宋体"/>
                <w:lang w:bidi="ar"/>
              </w:rPr>
              <w:t>分。否则，每项扣</w:t>
            </w:r>
            <w:r>
              <w:rPr>
                <w:rFonts w:ascii="宋体" w:hAnsi="宋体" w:eastAsia="宋体" w:cs="宋体"/>
                <w:lang w:bidi="ar"/>
              </w:rPr>
              <w:t>2</w:t>
            </w:r>
            <w:r>
              <w:rPr>
                <w:rFonts w:hint="eastAsia" w:ascii="宋体" w:hAnsi="宋体" w:eastAsia="宋体" w:cs="宋体"/>
                <w:lang w:bidi="ar"/>
              </w:rPr>
              <w:t>分。注：网上公示的，投标文件中须提供截图和查询网址</w:t>
            </w:r>
            <w:r>
              <w:rPr>
                <w:rFonts w:ascii="宋体" w:hAnsi="宋体" w:eastAsia="宋体" w:cs="宋体"/>
                <w:lang w:bidi="ar"/>
              </w:rPr>
              <w:t>。</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3</w:t>
            </w:r>
          </w:p>
        </w:tc>
        <w:tc>
          <w:tcPr>
            <w:tcW w:w="814" w:type="dxa"/>
            <w:tcBorders>
              <w:top w:val="single" w:color="auto" w:sz="4" w:space="0"/>
              <w:left w:val="single" w:color="auto" w:sz="4" w:space="0"/>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5</w:t>
            </w:r>
          </w:p>
        </w:tc>
        <w:tc>
          <w:tcPr>
            <w:tcW w:w="8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服务方案</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1.对本项目的理解程度：根据投标供应商对本项目技术服务内容的理解程度，由评审委员会进行综合评议。理解得</w:t>
            </w:r>
            <w:r>
              <w:rPr>
                <w:rFonts w:ascii="宋体" w:hAnsi="宋体" w:eastAsia="宋体" w:cs="宋体"/>
                <w:lang w:bidi="ar"/>
              </w:rPr>
              <w:t>5</w:t>
            </w:r>
            <w:r>
              <w:rPr>
                <w:rFonts w:hint="eastAsia" w:ascii="宋体" w:hAnsi="宋体" w:eastAsia="宋体" w:cs="宋体"/>
                <w:lang w:bidi="ar"/>
              </w:rPr>
              <w:t>分，比较理解得</w:t>
            </w:r>
            <w:r>
              <w:rPr>
                <w:rFonts w:ascii="宋体" w:hAnsi="宋体" w:eastAsia="宋体" w:cs="宋体"/>
                <w:lang w:bidi="ar"/>
              </w:rPr>
              <w:t>3</w:t>
            </w:r>
            <w:r>
              <w:rPr>
                <w:rFonts w:hint="eastAsia" w:ascii="宋体" w:hAnsi="宋体" w:eastAsia="宋体" w:cs="宋体"/>
                <w:lang w:bidi="ar"/>
              </w:rPr>
              <w:t>分，基本理解得</w:t>
            </w:r>
            <w:r>
              <w:rPr>
                <w:rFonts w:ascii="宋体" w:hAnsi="宋体" w:eastAsia="宋体" w:cs="宋体"/>
                <w:lang w:bidi="ar"/>
              </w:rPr>
              <w:t>1</w:t>
            </w:r>
            <w:r>
              <w:rPr>
                <w:rFonts w:hint="eastAsia" w:ascii="宋体" w:hAnsi="宋体" w:eastAsia="宋体" w:cs="宋体"/>
                <w:lang w:bidi="ar"/>
              </w:rPr>
              <w:t>分，偏差较大的得</w:t>
            </w:r>
            <w:r>
              <w:rPr>
                <w:rFonts w:ascii="宋体" w:hAnsi="宋体" w:eastAsia="宋体" w:cs="宋体"/>
                <w:lang w:bidi="ar"/>
              </w:rPr>
              <w:t>0</w:t>
            </w:r>
            <w:r>
              <w:rPr>
                <w:rFonts w:hint="eastAsia" w:ascii="宋体" w:hAnsi="宋体" w:eastAsia="宋体" w:cs="宋体"/>
                <w:lang w:bidi="ar"/>
              </w:rPr>
              <w:t>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46" w:type="dxa"/>
            <w:vMerge w:val="continue"/>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2.段滑门实施方案：据投标供应商提供的针对本项目的实施方案合理性，由评审委员会进行综合评议。详实得5分，比较详实得3分，基本详实得1分，方案不可行得0分。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46" w:type="dxa"/>
            <w:vMerge w:val="continue"/>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3.停车设备实施方案：据投标供应商提供的针对本项目的实施方案合理性，由评审委员会进行综合评议。详实得5分，比较详实得3分，基本详实得1分，方案不可行得0分。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46" w:type="dxa"/>
            <w:vMerge w:val="continue"/>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4.平开门实施方案：据投标供应商提供的针对本项目的实施方案合理性，由评审委员会进行综合评议。详实得5分，比较详实得3分，基本详实得1分，方案不可行得0分。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46" w:type="dxa"/>
            <w:vMerge w:val="continue"/>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5</w:t>
            </w:r>
            <w:r>
              <w:rPr>
                <w:rFonts w:ascii="宋体" w:hAnsi="宋体" w:eastAsia="宋体" w:cs="宋体"/>
                <w:lang w:bidi="ar"/>
              </w:rPr>
              <w:t>.</w:t>
            </w:r>
            <w:r>
              <w:rPr>
                <w:rFonts w:hint="eastAsia" w:ascii="宋体" w:hAnsi="宋体" w:eastAsia="宋体" w:cs="宋体"/>
                <w:lang w:bidi="ar"/>
              </w:rPr>
              <w:t>供货方案：据投标供应商提供的针对本项目的实施方案合理性，由评审委员会进行综合评议。详实得5分，比较详实得3分，基本详实得1分，方案不可行得0分。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846" w:type="dxa"/>
            <w:vMerge w:val="continue"/>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ascii="宋体" w:hAnsi="宋体" w:eastAsia="宋体" w:cs="宋体"/>
                <w:lang w:bidi="ar"/>
              </w:rPr>
              <w:t>6</w:t>
            </w:r>
            <w:r>
              <w:rPr>
                <w:rFonts w:hint="eastAsia" w:ascii="宋体" w:hAnsi="宋体" w:eastAsia="宋体" w:cs="宋体"/>
                <w:lang w:bidi="ar"/>
              </w:rPr>
              <w:t>.维保服务承诺：根据投标供应商提供的针对本项目售后服务措施，由评审委员会进行综合评议。切实可行得5分，比较可行得3分，基本可行得1分，无售后服务措施得0分。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6</w:t>
            </w:r>
          </w:p>
        </w:tc>
        <w:tc>
          <w:tcPr>
            <w:tcW w:w="846"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质保服务</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质保1年，不得分；质保2年，得3分；质保</w:t>
            </w:r>
            <w:r>
              <w:rPr>
                <w:rFonts w:ascii="宋体" w:hAnsi="宋体" w:eastAsia="宋体" w:cs="宋体"/>
                <w:lang w:bidi="ar"/>
              </w:rPr>
              <w:t>3</w:t>
            </w:r>
            <w:r>
              <w:rPr>
                <w:rFonts w:hint="eastAsia" w:ascii="宋体" w:hAnsi="宋体" w:eastAsia="宋体" w:cs="宋体"/>
                <w:lang w:bidi="ar"/>
              </w:rPr>
              <w:t>年，得4分；质保4年得</w:t>
            </w:r>
            <w:r>
              <w:rPr>
                <w:rFonts w:ascii="宋体" w:hAnsi="宋体" w:eastAsia="宋体" w:cs="宋体"/>
                <w:lang w:bidi="ar"/>
              </w:rPr>
              <w:t>5</w:t>
            </w:r>
            <w:r>
              <w:rPr>
                <w:rFonts w:hint="eastAsia" w:ascii="宋体" w:hAnsi="宋体" w:eastAsia="宋体" w:cs="宋体"/>
                <w:lang w:bidi="ar"/>
              </w:rPr>
              <w:t>分；质保5年得</w:t>
            </w:r>
            <w:r>
              <w:rPr>
                <w:rFonts w:ascii="宋体" w:hAnsi="宋体" w:eastAsia="宋体" w:cs="宋体"/>
                <w:lang w:bidi="ar"/>
              </w:rPr>
              <w:t>6</w:t>
            </w:r>
            <w:r>
              <w:rPr>
                <w:rFonts w:hint="eastAsia" w:ascii="宋体" w:hAnsi="宋体" w:eastAsia="宋体" w:cs="宋体"/>
                <w:lang w:bidi="ar"/>
              </w:rPr>
              <w:t>分；最高得</w:t>
            </w:r>
            <w:r>
              <w:rPr>
                <w:rFonts w:ascii="宋体" w:hAnsi="宋体" w:eastAsia="宋体" w:cs="宋体"/>
                <w:lang w:bidi="ar"/>
              </w:rPr>
              <w:t>6</w:t>
            </w:r>
            <w:r>
              <w:rPr>
                <w:rFonts w:hint="eastAsia" w:ascii="宋体" w:hAnsi="宋体" w:eastAsia="宋体" w:cs="宋体"/>
                <w:lang w:bidi="ar"/>
              </w:rPr>
              <w:t>分。</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6</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r>
        <w:tblPrEx>
          <w:tblCellMar>
            <w:top w:w="0" w:type="dxa"/>
            <w:left w:w="108" w:type="dxa"/>
            <w:bottom w:w="0" w:type="dxa"/>
            <w:right w:w="108" w:type="dxa"/>
          </w:tblCellMar>
        </w:tblPrEx>
        <w:trPr>
          <w:trHeight w:val="686" w:hRule="atLeast"/>
          <w:jc w:val="center"/>
        </w:trPr>
        <w:tc>
          <w:tcPr>
            <w:tcW w:w="4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7</w:t>
            </w:r>
          </w:p>
        </w:tc>
        <w:tc>
          <w:tcPr>
            <w:tcW w:w="846"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hint="eastAsia" w:ascii="宋体" w:hAnsi="宋体" w:eastAsia="宋体" w:cs="宋体"/>
                <w:sz w:val="24"/>
                <w:lang w:bidi="ar"/>
              </w:rPr>
              <w:t>价格评审</w:t>
            </w:r>
          </w:p>
        </w:tc>
        <w:tc>
          <w:tcPr>
            <w:tcW w:w="7039"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报价得分=（评标基准价/投标报价）×价格分</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注：最终得分保留小数点后两位。</w:t>
            </w:r>
          </w:p>
          <w:p>
            <w:pPr>
              <w:widowControl/>
              <w:snapToGrid w:val="0"/>
              <w:spacing w:line="360" w:lineRule="exact"/>
              <w:jc w:val="left"/>
              <w:rPr>
                <w:rFonts w:ascii="宋体" w:hAnsi="宋体" w:eastAsia="宋体" w:cs="宋体"/>
                <w:lang w:bidi="ar"/>
              </w:rPr>
            </w:pPr>
            <w:r>
              <w:rPr>
                <w:rFonts w:hint="eastAsia" w:ascii="宋体" w:hAnsi="宋体" w:eastAsia="宋体" w:cs="宋体"/>
                <w:lang w:bidi="ar"/>
              </w:rPr>
              <w:t>（评标基准价为有效投标报价的平均价）</w:t>
            </w:r>
          </w:p>
        </w:tc>
        <w:tc>
          <w:tcPr>
            <w:tcW w:w="708" w:type="dxa"/>
            <w:tcBorders>
              <w:top w:val="single" w:color="auto" w:sz="4" w:space="0"/>
              <w:left w:val="nil"/>
              <w:bottom w:val="single" w:color="auto" w:sz="4" w:space="0"/>
              <w:right w:val="single" w:color="auto" w:sz="4" w:space="0"/>
            </w:tcBorders>
            <w:shd w:val="clear" w:color="auto" w:fill="auto"/>
            <w:vAlign w:val="center"/>
          </w:tcPr>
          <w:p>
            <w:pPr>
              <w:widowControl/>
              <w:snapToGrid w:val="0"/>
              <w:spacing w:line="360" w:lineRule="exact"/>
              <w:jc w:val="left"/>
              <w:rPr>
                <w:rFonts w:ascii="宋体" w:hAnsi="宋体" w:eastAsia="宋体" w:cs="宋体"/>
                <w:sz w:val="24"/>
                <w:lang w:bidi="ar"/>
              </w:rPr>
            </w:pPr>
            <w:r>
              <w:rPr>
                <w:rFonts w:ascii="宋体" w:hAnsi="宋体" w:eastAsia="宋体" w:cs="宋体"/>
                <w:sz w:val="24"/>
                <w:lang w:bidi="ar"/>
              </w:rPr>
              <w:t>25</w:t>
            </w:r>
          </w:p>
        </w:tc>
        <w:tc>
          <w:tcPr>
            <w:tcW w:w="814" w:type="dxa"/>
            <w:tcBorders>
              <w:top w:val="single" w:color="auto" w:sz="4" w:space="0"/>
              <w:left w:val="nil"/>
              <w:bottom w:val="single" w:color="auto" w:sz="4" w:space="0"/>
              <w:right w:val="single" w:color="auto" w:sz="4" w:space="0"/>
            </w:tcBorders>
            <w:shd w:val="clear" w:color="auto" w:fill="auto"/>
          </w:tcPr>
          <w:p>
            <w:pPr>
              <w:widowControl/>
              <w:snapToGrid w:val="0"/>
              <w:spacing w:line="360" w:lineRule="exact"/>
              <w:jc w:val="left"/>
              <w:rPr>
                <w:rFonts w:ascii="宋体" w:hAnsi="宋体" w:eastAsia="宋体" w:cs="宋体"/>
                <w:sz w:val="24"/>
                <w:lang w:bidi="ar"/>
              </w:rPr>
            </w:pPr>
          </w:p>
        </w:tc>
      </w:tr>
    </w:tbl>
    <w:p>
      <w:pPr>
        <w:ind w:firstLine="240" w:firstLineChars="100"/>
        <w:jc w:val="center"/>
        <w:rPr>
          <w:rFonts w:ascii="仿宋_GB2312" w:hAnsi="仿宋_GB2312" w:eastAsia="仿宋_GB2312" w:cs="仿宋_GB2312"/>
          <w:kern w:val="0"/>
          <w:sz w:val="24"/>
          <w:szCs w:val="32"/>
          <w:lang w:bidi="ar"/>
        </w:rPr>
      </w:pPr>
    </w:p>
    <w:p>
      <w:pPr>
        <w:ind w:firstLine="240" w:firstLineChars="100"/>
        <w:jc w:val="center"/>
        <w:rPr>
          <w:rFonts w:ascii="仿宋_GB2312" w:hAnsi="仿宋_GB2312" w:eastAsia="仿宋_GB2312" w:cs="仿宋_GB2312"/>
          <w:kern w:val="0"/>
          <w:sz w:val="24"/>
          <w:szCs w:val="32"/>
          <w:lang w:bidi="ar"/>
        </w:rPr>
      </w:pPr>
    </w:p>
    <w:p>
      <w:pPr>
        <w:ind w:firstLine="240" w:firstLineChars="100"/>
        <w:jc w:val="center"/>
        <w:rPr>
          <w:rFonts w:hint="eastAsia" w:ascii="仿宋_GB2312" w:hAnsi="仿宋_GB2312" w:eastAsia="仿宋_GB2312" w:cs="仿宋_GB2312"/>
          <w:kern w:val="0"/>
          <w:sz w:val="24"/>
          <w:szCs w:val="32"/>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B6A8BA"/>
    <w:multiLevelType w:val="singleLevel"/>
    <w:tmpl w:val="CEB6A8B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2ZiNmM2MDhjOGQ5NDE4YThiODU3ZDRmMDAzZTgifQ=="/>
  </w:docVars>
  <w:rsids>
    <w:rsidRoot w:val="5A161528"/>
    <w:rsid w:val="000438B9"/>
    <w:rsid w:val="00097F06"/>
    <w:rsid w:val="000A0881"/>
    <w:rsid w:val="000F548D"/>
    <w:rsid w:val="00111378"/>
    <w:rsid w:val="001122DE"/>
    <w:rsid w:val="00130BBB"/>
    <w:rsid w:val="00160A02"/>
    <w:rsid w:val="001A6DFC"/>
    <w:rsid w:val="00217491"/>
    <w:rsid w:val="00275144"/>
    <w:rsid w:val="002B3A1E"/>
    <w:rsid w:val="0030119C"/>
    <w:rsid w:val="00305E0E"/>
    <w:rsid w:val="0031471B"/>
    <w:rsid w:val="00324CDC"/>
    <w:rsid w:val="00347A08"/>
    <w:rsid w:val="0035190E"/>
    <w:rsid w:val="0035610D"/>
    <w:rsid w:val="00356642"/>
    <w:rsid w:val="0037129A"/>
    <w:rsid w:val="00395C4E"/>
    <w:rsid w:val="003B0511"/>
    <w:rsid w:val="003E0B8E"/>
    <w:rsid w:val="004008A0"/>
    <w:rsid w:val="00410703"/>
    <w:rsid w:val="0047079F"/>
    <w:rsid w:val="00480550"/>
    <w:rsid w:val="004973FF"/>
    <w:rsid w:val="004D03A1"/>
    <w:rsid w:val="004D5B83"/>
    <w:rsid w:val="004E6D4C"/>
    <w:rsid w:val="0053501C"/>
    <w:rsid w:val="00552A37"/>
    <w:rsid w:val="005B1F45"/>
    <w:rsid w:val="005D7E74"/>
    <w:rsid w:val="005F34AC"/>
    <w:rsid w:val="006718ED"/>
    <w:rsid w:val="006758BD"/>
    <w:rsid w:val="006968BF"/>
    <w:rsid w:val="008535F3"/>
    <w:rsid w:val="00872C4A"/>
    <w:rsid w:val="008C38E8"/>
    <w:rsid w:val="008E5A49"/>
    <w:rsid w:val="008E7F8A"/>
    <w:rsid w:val="00936E11"/>
    <w:rsid w:val="009379F5"/>
    <w:rsid w:val="0096449C"/>
    <w:rsid w:val="00A535E8"/>
    <w:rsid w:val="00A604A1"/>
    <w:rsid w:val="00A72A34"/>
    <w:rsid w:val="00AB2F0D"/>
    <w:rsid w:val="00AB5B7E"/>
    <w:rsid w:val="00B96432"/>
    <w:rsid w:val="00BB42CB"/>
    <w:rsid w:val="00BB5D15"/>
    <w:rsid w:val="00BC20CD"/>
    <w:rsid w:val="00C334CE"/>
    <w:rsid w:val="00C4189B"/>
    <w:rsid w:val="00C4540F"/>
    <w:rsid w:val="00C816CE"/>
    <w:rsid w:val="00CD2FDA"/>
    <w:rsid w:val="00CE70E3"/>
    <w:rsid w:val="00D37FB8"/>
    <w:rsid w:val="00D97E2C"/>
    <w:rsid w:val="00DA0CEF"/>
    <w:rsid w:val="00DB21F8"/>
    <w:rsid w:val="00DF134C"/>
    <w:rsid w:val="00E5372D"/>
    <w:rsid w:val="00E66154"/>
    <w:rsid w:val="00E837F3"/>
    <w:rsid w:val="00EC3D4D"/>
    <w:rsid w:val="00ED355A"/>
    <w:rsid w:val="00EF7450"/>
    <w:rsid w:val="00F012E3"/>
    <w:rsid w:val="00F05878"/>
    <w:rsid w:val="00F211F1"/>
    <w:rsid w:val="00FD5072"/>
    <w:rsid w:val="0ADD11E0"/>
    <w:rsid w:val="13086CDB"/>
    <w:rsid w:val="5A161528"/>
    <w:rsid w:val="675B47A0"/>
    <w:rsid w:val="6C7974D3"/>
    <w:rsid w:val="7E213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List 2"/>
    <w:basedOn w:val="1"/>
    <w:qFormat/>
    <w:uiPriority w:val="0"/>
    <w:pPr>
      <w:ind w:left="100" w:leftChars="200" w:hanging="200" w:hangingChars="200"/>
      <w:contextualSpacing/>
    </w:pPr>
    <w:rPr>
      <w:szCs w:val="24"/>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 w:type="paragraph" w:customStyle="1" w:styleId="12">
    <w:name w:val="Body Text 21"/>
    <w:basedOn w:val="1"/>
    <w:next w:val="2"/>
    <w:qFormat/>
    <w:uiPriority w:val="0"/>
    <w:rPr>
      <w:rFonts w:ascii="ˎ̥" w:hAnsi="ˎ̥" w:cs="宋体"/>
      <w:b/>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4922</Words>
  <Characters>5503</Characters>
  <Lines>41</Lines>
  <Paragraphs>11</Paragraphs>
  <TotalTime>0</TotalTime>
  <ScaleCrop>false</ScaleCrop>
  <LinksUpToDate>false</LinksUpToDate>
  <CharactersWithSpaces>5606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2024-04-30T06:45:00Z</dcterms:created>
  <dc:creator>de'l'l</dc:creator>
  <cp:lastModifiedBy>翔子@@</cp:lastModifiedBy>
  <dcterms:modified xsi:type="dcterms:W3CDTF">2024-07-12T07:53:37Z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E04D2C025D164FB2AEA17F9CE02A4901_13</vt:lpwstr>
  </property>
</Properties>
</file>