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87C4E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郑州市第八人民医院</w:t>
      </w:r>
    </w:p>
    <w:p w14:paraId="1559339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关于荥阳院区太阳能维保服务商</w:t>
      </w:r>
    </w:p>
    <w:p w14:paraId="654CFFF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比选公告</w:t>
      </w:r>
    </w:p>
    <w:p w14:paraId="33E6DBF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0E79454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一、</w:t>
      </w:r>
      <w:r>
        <w:rPr>
          <w:rFonts w:hint="eastAsia" w:ascii="仿宋_GB2312" w:hAnsi="仿宋_GB2312" w:eastAsia="仿宋_GB2312" w:cs="仿宋_GB2312"/>
          <w:b/>
          <w:bCs/>
          <w:sz w:val="32"/>
          <w:szCs w:val="32"/>
          <w:lang w:val="en-US" w:eastAsia="zh-CN"/>
        </w:rPr>
        <w:t>比选事由</w:t>
      </w:r>
    </w:p>
    <w:p w14:paraId="0E392CC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本公告旨在公开</w:t>
      </w:r>
      <w:r>
        <w:rPr>
          <w:rFonts w:hint="eastAsia" w:ascii="仿宋_GB2312" w:hAnsi="仿宋_GB2312" w:eastAsia="仿宋_GB2312" w:cs="仿宋_GB2312"/>
          <w:sz w:val="32"/>
          <w:szCs w:val="32"/>
          <w:lang w:eastAsia="zh-CN"/>
        </w:rPr>
        <w:t>比选</w:t>
      </w:r>
      <w:r>
        <w:rPr>
          <w:rFonts w:hint="eastAsia" w:ascii="仿宋_GB2312" w:hAnsi="仿宋_GB2312" w:eastAsia="仿宋_GB2312" w:cs="仿宋_GB2312"/>
          <w:sz w:val="32"/>
          <w:szCs w:val="32"/>
          <w:lang w:val="en-US" w:eastAsia="zh-CN"/>
        </w:rPr>
        <w:t>郑州市第八人民</w:t>
      </w:r>
      <w:r>
        <w:rPr>
          <w:rFonts w:hint="eastAsia" w:ascii="仿宋_GB2312" w:hAnsi="仿宋_GB2312" w:eastAsia="仿宋_GB2312" w:cs="仿宋_GB2312"/>
          <w:sz w:val="32"/>
          <w:szCs w:val="32"/>
        </w:rPr>
        <w:t>医院</w:t>
      </w:r>
      <w:r>
        <w:rPr>
          <w:rFonts w:hint="eastAsia" w:ascii="仿宋_GB2312" w:hAnsi="仿宋_GB2312" w:eastAsia="仿宋_GB2312" w:cs="仿宋_GB2312"/>
          <w:sz w:val="32"/>
          <w:szCs w:val="32"/>
          <w:lang w:val="en-US" w:eastAsia="zh-CN"/>
        </w:rPr>
        <w:t>荥阳院区太阳能维保服务商</w:t>
      </w:r>
      <w:r>
        <w:rPr>
          <w:rFonts w:hint="eastAsia" w:ascii="仿宋_GB2312" w:hAnsi="仿宋_GB2312" w:eastAsia="仿宋_GB2312" w:cs="仿宋_GB2312"/>
          <w:sz w:val="32"/>
          <w:szCs w:val="32"/>
        </w:rPr>
        <w:t>。我们期待与有资质、有经验、有实力的企业建立长期稳定的合作关系，为医院提供高</w:t>
      </w:r>
      <w:r>
        <w:rPr>
          <w:rFonts w:hint="eastAsia" w:ascii="仿宋_GB2312" w:hAnsi="仿宋_GB2312" w:eastAsia="仿宋_GB2312" w:cs="仿宋_GB2312"/>
          <w:sz w:val="32"/>
          <w:szCs w:val="32"/>
          <w:lang w:val="en-US" w:eastAsia="zh-CN"/>
        </w:rPr>
        <w:t>质量、高水平</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服务</w:t>
      </w:r>
      <w:r>
        <w:rPr>
          <w:rFonts w:hint="eastAsia" w:ascii="仿宋_GB2312" w:hAnsi="仿宋_GB2312" w:eastAsia="仿宋_GB2312" w:cs="仿宋_GB2312"/>
          <w:sz w:val="32"/>
          <w:szCs w:val="32"/>
        </w:rPr>
        <w:t>。</w:t>
      </w:r>
    </w:p>
    <w:p w14:paraId="7841D461">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项目概况</w:t>
      </w:r>
    </w:p>
    <w:p w14:paraId="4AC0E1E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2.1项目名称：郑州市第八人民医院关于荥阳院区太阳能维保服务商比选项目。</w:t>
      </w:r>
    </w:p>
    <w:p w14:paraId="092A086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lang w:val="en-US" w:eastAsia="zh-CN"/>
        </w:rPr>
        <w:t>2.2采购资金来源：</w:t>
      </w:r>
      <w:r>
        <w:rPr>
          <w:rFonts w:hint="eastAsia" w:ascii="仿宋_GB2312" w:hAnsi="仿宋_GB2312" w:eastAsia="仿宋_GB2312" w:cs="仿宋_GB2312"/>
          <w:sz w:val="32"/>
          <w:szCs w:val="32"/>
          <w:highlight w:val="none"/>
          <w:lang w:val="en-US" w:eastAsia="zh-CN"/>
        </w:rPr>
        <w:t>自有资金。</w:t>
      </w:r>
    </w:p>
    <w:p w14:paraId="3AEFD27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2.3预算金额：185000.00元（壹拾捌万伍仟圆整）。</w:t>
      </w:r>
    </w:p>
    <w:p w14:paraId="266C48A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2.4本项目是否接受联合体投标：否</w:t>
      </w:r>
    </w:p>
    <w:p w14:paraId="53B6B4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2.5合同服务周期： 一年。</w:t>
      </w:r>
    </w:p>
    <w:p w14:paraId="39E36E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2.6服务地点：郑州市第八人民医院荥阳院区；</w:t>
      </w:r>
    </w:p>
    <w:p w14:paraId="217196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2.7现场踏勘：不组织，服务商自行踏勘，无论服务商对现场考察与否，都将被视为熟悉履行合同有关的一切情况。</w:t>
      </w:r>
    </w:p>
    <w:p w14:paraId="2A40C1D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lang w:val="en-US" w:eastAsia="zh-CN"/>
        </w:rPr>
        <w:t>三</w:t>
      </w:r>
      <w:r>
        <w:rPr>
          <w:rFonts w:hint="eastAsia" w:ascii="仿宋_GB2312" w:hAnsi="仿宋_GB2312" w:eastAsia="仿宋_GB2312" w:cs="仿宋_GB2312"/>
          <w:b/>
          <w:bCs/>
          <w:sz w:val="32"/>
          <w:szCs w:val="32"/>
          <w:highlight w:val="none"/>
        </w:rPr>
        <w:t>、采购范围及要求</w:t>
      </w:r>
    </w:p>
    <w:p w14:paraId="3754DC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采购范围：</w:t>
      </w:r>
    </w:p>
    <w:p w14:paraId="1CA6A9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除垢设备4套、散热设备4套以及荥阳院区太阳能热水系统维保维护（包括门诊楼、开放病区楼、封闭病区楼、保障楼）</w:t>
      </w:r>
    </w:p>
    <w:p w14:paraId="6F0FDBE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FF"/>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3.2太阳能正常运行维护所需更换的耗材，除垢剂、试剂、防冻液等由服务商承担。损坏需更换的维修配件单件费用500.00元以下均由服务商承担。</w:t>
      </w:r>
    </w:p>
    <w:p w14:paraId="315CFE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rPr>
        <w:t>质量要求：</w:t>
      </w:r>
      <w:r>
        <w:rPr>
          <w:rFonts w:hint="eastAsia" w:ascii="仿宋_GB2312" w:hAnsi="仿宋_GB2312" w:eastAsia="仿宋_GB2312" w:cs="仿宋_GB2312"/>
          <w:i w:val="0"/>
          <w:iCs w:val="0"/>
          <w:caps w:val="0"/>
          <w:color w:val="000000"/>
          <w:spacing w:val="0"/>
          <w:sz w:val="32"/>
          <w:szCs w:val="32"/>
        </w:rPr>
        <w:t>确保</w:t>
      </w:r>
      <w:r>
        <w:rPr>
          <w:rFonts w:hint="eastAsia" w:ascii="仿宋_GB2312" w:hAnsi="仿宋_GB2312" w:eastAsia="仿宋_GB2312" w:cs="仿宋_GB2312"/>
          <w:i w:val="0"/>
          <w:iCs w:val="0"/>
          <w:caps w:val="0"/>
          <w:color w:val="000000"/>
          <w:spacing w:val="0"/>
          <w:sz w:val="32"/>
          <w:szCs w:val="32"/>
          <w:lang w:val="en-US" w:eastAsia="zh-CN"/>
        </w:rPr>
        <w:t>太阳能</w:t>
      </w:r>
      <w:r>
        <w:rPr>
          <w:rFonts w:hint="eastAsia" w:ascii="仿宋_GB2312" w:hAnsi="仿宋_GB2312" w:eastAsia="仿宋_GB2312" w:cs="仿宋_GB2312"/>
          <w:i w:val="0"/>
          <w:iCs w:val="0"/>
          <w:caps w:val="0"/>
          <w:color w:val="000000"/>
          <w:spacing w:val="0"/>
          <w:sz w:val="32"/>
          <w:szCs w:val="32"/>
        </w:rPr>
        <w:t>各系统、设施、设备各项功能良好，能够正常运行，使用功能符合采购人需求。</w:t>
      </w:r>
    </w:p>
    <w:p w14:paraId="7985DB7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四、服务</w:t>
      </w:r>
      <w:r>
        <w:rPr>
          <w:rFonts w:hint="eastAsia" w:ascii="仿宋_GB2312" w:hAnsi="仿宋_GB2312" w:eastAsia="仿宋_GB2312" w:cs="仿宋_GB2312"/>
          <w:b/>
          <w:bCs/>
          <w:sz w:val="32"/>
          <w:szCs w:val="32"/>
        </w:rPr>
        <w:t>商资格要求</w:t>
      </w:r>
    </w:p>
    <w:p w14:paraId="7A1842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rPr>
        <w:t>响应人必须满足</w:t>
      </w: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rPr>
        <w:t>响应资格要求中的所有条款，并按照相关规定递交资格证明文件。</w:t>
      </w:r>
    </w:p>
    <w:p w14:paraId="0439C2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4.1能够独立承担民事责任能力；</w:t>
      </w:r>
    </w:p>
    <w:p w14:paraId="703054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4.2在中国境内注册具有独立法人资格，持有国家工商行政管理部门核发的真实有效的生产制造企业或代理商（或经销商）营业执照并有所响应项目的经营范围；</w:t>
      </w:r>
    </w:p>
    <w:p w14:paraId="47506A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4.3具</w:t>
      </w:r>
      <w:r>
        <w:rPr>
          <w:rFonts w:hint="eastAsia" w:ascii="仿宋_GB2312" w:hAnsi="仿宋_GB2312" w:eastAsia="仿宋_GB2312" w:cs="仿宋_GB2312"/>
          <w:sz w:val="32"/>
          <w:szCs w:val="32"/>
        </w:rPr>
        <w:t>有良好的商业信誉和健全的财务会计制度；</w:t>
      </w:r>
    </w:p>
    <w:p w14:paraId="706358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4.4</w:t>
      </w:r>
      <w:r>
        <w:rPr>
          <w:rFonts w:hint="eastAsia" w:ascii="仿宋_GB2312" w:hAnsi="仿宋_GB2312" w:eastAsia="仿宋_GB2312" w:cs="仿宋_GB2312"/>
          <w:sz w:val="32"/>
          <w:szCs w:val="32"/>
        </w:rPr>
        <w:t>近三年内无重大违法违规记录；</w:t>
      </w:r>
    </w:p>
    <w:p w14:paraId="197DA4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none"/>
          <w:lang w:val="en-US" w:eastAsia="zh-CN"/>
        </w:rPr>
        <w:t>4.5</w:t>
      </w:r>
      <w:r>
        <w:rPr>
          <w:rFonts w:hint="eastAsia" w:ascii="仿宋_GB2312" w:hAnsi="仿宋_GB2312" w:eastAsia="仿宋_GB2312" w:cs="仿宋_GB2312"/>
          <w:i w:val="0"/>
          <w:iCs w:val="0"/>
          <w:caps w:val="0"/>
          <w:color w:val="000000"/>
          <w:spacing w:val="0"/>
          <w:sz w:val="32"/>
          <w:szCs w:val="32"/>
        </w:rPr>
        <w:t>具有履行合同所必需的设备和专业技术能力</w:t>
      </w:r>
      <w:r>
        <w:rPr>
          <w:rFonts w:ascii="微软雅黑" w:hAnsi="微软雅黑" w:eastAsia="微软雅黑" w:cs="微软雅黑"/>
          <w:i w:val="0"/>
          <w:iCs w:val="0"/>
          <w:caps w:val="0"/>
          <w:color w:val="000000"/>
          <w:spacing w:val="0"/>
          <w:sz w:val="27"/>
          <w:szCs w:val="27"/>
        </w:rPr>
        <w:t>；</w:t>
      </w:r>
    </w:p>
    <w:p w14:paraId="463881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4.6单位负责人为同一人或者存在控股、管理关系的不同单位，不得同时参加同一项目的比选响应；</w:t>
      </w:r>
    </w:p>
    <w:p w14:paraId="4E1AFE4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4.7比选响应人经营行为必须符合国家法律、法规和有关规定。</w:t>
      </w:r>
    </w:p>
    <w:p w14:paraId="14554A9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届时请参加投标的单位带上响应文件准时递交（过时视为弃权）。我们将本着“三公”原则，选择具有法定资质、实力雄厚、价格公道合理、售后服务良好、讲诚信重合作的投标单位为中标人。</w:t>
      </w:r>
    </w:p>
    <w:p w14:paraId="32DF76B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43" w:firstLineChars="200"/>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五、资料提交</w:t>
      </w:r>
    </w:p>
    <w:p w14:paraId="2B37260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5.1 营业执照副本复印件（需加盖公章）；</w:t>
      </w:r>
    </w:p>
    <w:p w14:paraId="5FA6199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5.2项目报价单（需加盖公章）；</w:t>
      </w:r>
    </w:p>
    <w:p w14:paraId="2BDFBC0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40" w:firstLineChars="200"/>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5.3服务商资格要求中所提及资质证明；</w:t>
      </w:r>
    </w:p>
    <w:p w14:paraId="2663B36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5.4</w:t>
      </w:r>
      <w:r>
        <w:rPr>
          <w:rFonts w:hint="eastAsia" w:ascii="仿宋_GB2312" w:hAnsi="仿宋_GB2312" w:eastAsia="仿宋_GB2312" w:cs="仿宋_GB2312"/>
          <w:i w:val="0"/>
          <w:iCs w:val="0"/>
          <w:caps w:val="0"/>
          <w:color w:val="000000"/>
          <w:spacing w:val="0"/>
          <w:sz w:val="32"/>
          <w:szCs w:val="32"/>
        </w:rPr>
        <w:t>维保服务方案（包括服务承诺及响应时间等）；</w:t>
      </w:r>
    </w:p>
    <w:p w14:paraId="13CC4B8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40" w:firstLineChars="200"/>
        <w:rPr>
          <w:rFonts w:hint="default"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5.5其他证明材料；</w:t>
      </w:r>
    </w:p>
    <w:p w14:paraId="4BF2129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right="0"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5.6所有资料统一采用档案袋封存送达，档案袋上应体现公司名称及联系人；</w:t>
      </w:r>
    </w:p>
    <w:p w14:paraId="2F4C8A8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报名及</w:t>
      </w:r>
      <w:r>
        <w:rPr>
          <w:rFonts w:hint="eastAsia" w:ascii="仿宋_GB2312" w:hAnsi="仿宋_GB2312" w:eastAsia="仿宋_GB2312" w:cs="仿宋_GB2312"/>
          <w:b/>
          <w:bCs/>
          <w:sz w:val="32"/>
          <w:szCs w:val="32"/>
          <w:lang w:eastAsia="zh-CN"/>
        </w:rPr>
        <w:t>比选</w:t>
      </w:r>
      <w:r>
        <w:rPr>
          <w:rFonts w:hint="eastAsia" w:ascii="仿宋_GB2312" w:hAnsi="仿宋_GB2312" w:eastAsia="仿宋_GB2312" w:cs="仿宋_GB2312"/>
          <w:b/>
          <w:bCs/>
          <w:sz w:val="32"/>
          <w:szCs w:val="32"/>
        </w:rPr>
        <w:t>流程</w:t>
      </w:r>
    </w:p>
    <w:p w14:paraId="46AD21B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6.1</w:t>
      </w:r>
      <w:r>
        <w:rPr>
          <w:rFonts w:hint="eastAsia" w:ascii="仿宋_GB2312" w:hAnsi="仿宋_GB2312" w:eastAsia="仿宋_GB2312" w:cs="仿宋_GB2312"/>
          <w:sz w:val="32"/>
          <w:szCs w:val="32"/>
          <w:lang w:eastAsia="zh-CN"/>
        </w:rPr>
        <w:t>比选</w:t>
      </w:r>
      <w:r>
        <w:rPr>
          <w:rFonts w:hint="eastAsia" w:ascii="仿宋_GB2312" w:hAnsi="仿宋_GB2312" w:eastAsia="仿宋_GB2312" w:cs="仿宋_GB2312"/>
          <w:sz w:val="32"/>
          <w:szCs w:val="32"/>
        </w:rPr>
        <w:t>响应文件递交时间：</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08时00分至12</w:t>
      </w:r>
      <w:r>
        <w:rPr>
          <w:rFonts w:hint="eastAsia" w:ascii="仿宋_GB2312" w:hAnsi="仿宋_GB2312" w:eastAsia="仿宋_GB2312" w:cs="仿宋_GB2312"/>
          <w:sz w:val="32"/>
          <w:szCs w:val="32"/>
        </w:rPr>
        <w:t>时</w:t>
      </w:r>
      <w:r>
        <w:rPr>
          <w:rFonts w:hint="eastAsia" w:ascii="仿宋_GB2312" w:hAnsi="仿宋_GB2312" w:eastAsia="仿宋_GB2312" w:cs="仿宋_GB2312"/>
          <w:sz w:val="32"/>
          <w:szCs w:val="32"/>
          <w:lang w:val="en-US" w:eastAsia="zh-CN"/>
        </w:rPr>
        <w:t>00</w:t>
      </w:r>
      <w:r>
        <w:rPr>
          <w:rFonts w:hint="eastAsia" w:ascii="仿宋_GB2312" w:hAnsi="仿宋_GB2312" w:eastAsia="仿宋_GB2312" w:cs="仿宋_GB2312"/>
          <w:sz w:val="32"/>
          <w:szCs w:val="32"/>
        </w:rPr>
        <w:t>分（北京时间）；逾期送达的响应文件，采购人不予受理；</w:t>
      </w:r>
    </w:p>
    <w:p w14:paraId="277C6C5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lang w:val="en-US" w:eastAsia="zh-CN"/>
        </w:rPr>
        <w:t>6.2</w:t>
      </w:r>
      <w:r>
        <w:rPr>
          <w:rFonts w:hint="eastAsia" w:ascii="仿宋_GB2312" w:hAnsi="仿宋_GB2312" w:eastAsia="仿宋_GB2312" w:cs="仿宋_GB2312"/>
          <w:color w:val="auto"/>
          <w:sz w:val="32"/>
          <w:szCs w:val="32"/>
          <w:highlight w:val="none"/>
          <w:lang w:eastAsia="zh-CN"/>
        </w:rPr>
        <w:t>比选</w:t>
      </w:r>
      <w:r>
        <w:rPr>
          <w:rFonts w:hint="eastAsia" w:ascii="仿宋_GB2312" w:hAnsi="仿宋_GB2312" w:eastAsia="仿宋_GB2312" w:cs="仿宋_GB2312"/>
          <w:color w:val="auto"/>
          <w:sz w:val="32"/>
          <w:szCs w:val="32"/>
          <w:highlight w:val="none"/>
        </w:rPr>
        <w:t>响应文件递交地点：</w:t>
      </w:r>
      <w:r>
        <w:rPr>
          <w:rFonts w:hint="eastAsia" w:ascii="仿宋_GB2312" w:hAnsi="仿宋_GB2312" w:eastAsia="仿宋_GB2312" w:cs="仿宋_GB2312"/>
          <w:color w:val="auto"/>
          <w:kern w:val="0"/>
          <w:sz w:val="32"/>
          <w:szCs w:val="32"/>
          <w:highlight w:val="none"/>
          <w:lang w:val="en-US" w:eastAsia="zh-CN"/>
        </w:rPr>
        <w:t>郑州市第八人民医院总务</w:t>
      </w:r>
      <w:bookmarkStart w:id="3" w:name="_GoBack"/>
      <w:bookmarkEnd w:id="3"/>
      <w:r>
        <w:rPr>
          <w:rFonts w:hint="eastAsia" w:ascii="仿宋_GB2312" w:hAnsi="仿宋_GB2312" w:eastAsia="仿宋_GB2312" w:cs="仿宋_GB2312"/>
          <w:color w:val="auto"/>
          <w:kern w:val="0"/>
          <w:sz w:val="32"/>
          <w:szCs w:val="32"/>
          <w:highlight w:val="none"/>
          <w:lang w:val="en-US" w:eastAsia="zh-CN"/>
        </w:rPr>
        <w:t>科（郑州市二七区郑密路与航海路交叉口向南200米路西）</w:t>
      </w:r>
      <w:r>
        <w:rPr>
          <w:rFonts w:hint="eastAsia" w:ascii="仿宋_GB2312" w:hAnsi="仿宋_GB2312" w:eastAsia="仿宋_GB2312" w:cs="仿宋_GB2312"/>
          <w:color w:val="auto"/>
          <w:kern w:val="0"/>
          <w:sz w:val="32"/>
          <w:szCs w:val="32"/>
          <w:highlight w:val="none"/>
        </w:rPr>
        <w:t>；</w:t>
      </w:r>
    </w:p>
    <w:p w14:paraId="1B45004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6.3</w:t>
      </w:r>
      <w:r>
        <w:rPr>
          <w:rFonts w:hint="eastAsia" w:ascii="仿宋_GB2312" w:hAnsi="仿宋_GB2312" w:eastAsia="仿宋_GB2312" w:cs="仿宋_GB2312"/>
          <w:sz w:val="32"/>
          <w:szCs w:val="32"/>
        </w:rPr>
        <w:t>医院将对报名企业进行资格审查，筛选出符合要求的</w:t>
      </w:r>
      <w:r>
        <w:rPr>
          <w:rFonts w:hint="eastAsia" w:ascii="仿宋_GB2312" w:hAnsi="仿宋_GB2312" w:eastAsia="仿宋_GB2312" w:cs="仿宋_GB2312"/>
          <w:sz w:val="32"/>
          <w:szCs w:val="32"/>
          <w:lang w:val="en-US" w:eastAsia="zh-CN"/>
        </w:rPr>
        <w:t>服务商</w:t>
      </w:r>
      <w:r>
        <w:rPr>
          <w:rFonts w:hint="eastAsia" w:ascii="仿宋_GB2312" w:hAnsi="仿宋_GB2312" w:eastAsia="仿宋_GB2312" w:cs="仿宋_GB2312"/>
          <w:sz w:val="32"/>
          <w:szCs w:val="32"/>
        </w:rPr>
        <w:t>进入下一轮评审。</w:t>
      </w:r>
      <w:r>
        <w:rPr>
          <w:rFonts w:hint="eastAsia" w:ascii="仿宋_GB2312" w:hAnsi="仿宋_GB2312" w:eastAsia="仿宋_GB2312" w:cs="仿宋_GB2312"/>
          <w:sz w:val="32"/>
          <w:szCs w:val="32"/>
          <w:lang w:val="en-US" w:eastAsia="zh-CN"/>
        </w:rPr>
        <w:t>医院将成立评选小组，根据服务商</w:t>
      </w:r>
      <w:r>
        <w:rPr>
          <w:rFonts w:hint="eastAsia" w:ascii="仿宋_GB2312" w:hAnsi="仿宋_GB2312" w:eastAsia="仿宋_GB2312" w:cs="仿宋_GB2312"/>
          <w:sz w:val="32"/>
          <w:szCs w:val="32"/>
        </w:rPr>
        <w:t>的报价、</w:t>
      </w:r>
      <w:r>
        <w:rPr>
          <w:rFonts w:hint="eastAsia" w:ascii="仿宋_GB2312" w:hAnsi="仿宋_GB2312" w:eastAsia="仿宋_GB2312" w:cs="仿宋_GB2312"/>
          <w:sz w:val="32"/>
          <w:szCs w:val="32"/>
          <w:lang w:val="en-US" w:eastAsia="zh-CN"/>
        </w:rPr>
        <w:t>服务</w:t>
      </w:r>
      <w:r>
        <w:rPr>
          <w:rFonts w:hint="eastAsia" w:ascii="仿宋_GB2312" w:hAnsi="仿宋_GB2312" w:eastAsia="仿宋_GB2312" w:cs="仿宋_GB2312"/>
          <w:sz w:val="32"/>
          <w:szCs w:val="32"/>
        </w:rPr>
        <w:t>质量等因素</w:t>
      </w:r>
      <w:r>
        <w:rPr>
          <w:rFonts w:hint="eastAsia" w:ascii="仿宋_GB2312" w:hAnsi="仿宋_GB2312" w:eastAsia="仿宋_GB2312" w:cs="仿宋_GB2312"/>
          <w:sz w:val="32"/>
          <w:szCs w:val="32"/>
          <w:lang w:val="en-US" w:eastAsia="zh-CN"/>
        </w:rPr>
        <w:t>进行比选</w:t>
      </w:r>
      <w:r>
        <w:rPr>
          <w:rFonts w:hint="eastAsia" w:ascii="仿宋_GB2312" w:hAnsi="仿宋_GB2312" w:eastAsia="仿宋_GB2312" w:cs="仿宋_GB2312"/>
          <w:sz w:val="32"/>
          <w:szCs w:val="32"/>
        </w:rPr>
        <w:t>，最终确定合作</w:t>
      </w:r>
      <w:r>
        <w:rPr>
          <w:rFonts w:hint="eastAsia" w:ascii="仿宋_GB2312" w:hAnsi="仿宋_GB2312" w:eastAsia="仿宋_GB2312" w:cs="仿宋_GB2312"/>
          <w:sz w:val="32"/>
          <w:szCs w:val="32"/>
          <w:lang w:val="en-US" w:eastAsia="zh-CN"/>
        </w:rPr>
        <w:t>服务商</w:t>
      </w:r>
      <w:r>
        <w:rPr>
          <w:rFonts w:hint="eastAsia" w:ascii="仿宋_GB2312" w:hAnsi="仿宋_GB2312" w:eastAsia="仿宋_GB2312" w:cs="仿宋_GB2312"/>
          <w:sz w:val="32"/>
          <w:szCs w:val="32"/>
        </w:rPr>
        <w:t>。</w:t>
      </w:r>
    </w:p>
    <w:p w14:paraId="4EF9A18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联系人及</w:t>
      </w:r>
      <w:r>
        <w:rPr>
          <w:rFonts w:hint="eastAsia" w:ascii="仿宋_GB2312" w:hAnsi="仿宋_GB2312" w:eastAsia="仿宋_GB2312" w:cs="仿宋_GB2312"/>
          <w:b/>
          <w:bCs/>
          <w:sz w:val="32"/>
          <w:szCs w:val="32"/>
        </w:rPr>
        <w:t>联系方式</w:t>
      </w:r>
    </w:p>
    <w:p w14:paraId="49B5483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right="0"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比选人名称：郑州市第八人民医院   </w:t>
      </w:r>
    </w:p>
    <w:p w14:paraId="074F9C9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right="0"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地 址：郑州市二七区郑密路与航海路交叉口向南200米路西</w:t>
      </w:r>
    </w:p>
    <w:p w14:paraId="5034554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right="0"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联 系 人：邵先生</w:t>
      </w:r>
    </w:p>
    <w:p w14:paraId="2A36095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right="0"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联系电话：13598038883</w:t>
      </w:r>
    </w:p>
    <w:p w14:paraId="7777015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right="0"/>
        <w:rPr>
          <w:rFonts w:hint="eastAsia" w:ascii="仿宋_GB2312" w:hAnsi="仿宋_GB2312" w:eastAsia="仿宋_GB2312" w:cs="仿宋_GB2312"/>
          <w:kern w:val="2"/>
          <w:sz w:val="32"/>
          <w:szCs w:val="32"/>
          <w:lang w:val="en-US" w:eastAsia="zh-CN" w:bidi="ar-SA"/>
        </w:rPr>
      </w:pPr>
    </w:p>
    <w:p w14:paraId="7A4C6B1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right="0"/>
        <w:jc w:val="right"/>
        <w:rPr>
          <w:rFonts w:hint="eastAsia" w:ascii="仿宋_GB2312" w:hAnsi="仿宋_GB2312" w:eastAsia="仿宋_GB2312" w:cs="仿宋_GB2312"/>
          <w:kern w:val="2"/>
          <w:sz w:val="32"/>
          <w:szCs w:val="32"/>
          <w:lang w:val="en-US" w:eastAsia="zh-CN" w:bidi="ar-SA"/>
        </w:rPr>
      </w:pPr>
    </w:p>
    <w:p w14:paraId="6979986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right="0"/>
        <w:jc w:val="cente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郑州市第八人民医院</w:t>
      </w:r>
    </w:p>
    <w:p w14:paraId="49792294">
      <w:pP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2024年7月11日</w:t>
      </w:r>
    </w:p>
    <w:p w14:paraId="2536C42E">
      <w:pPr>
        <w:jc w:val="center"/>
        <w:rPr>
          <w:rFonts w:hint="eastAsia" w:ascii="黑体" w:hAnsi="黑体" w:eastAsia="黑体" w:cs="黑体"/>
          <w:sz w:val="32"/>
          <w:szCs w:val="32"/>
        </w:rPr>
      </w:pPr>
      <w:r>
        <w:rPr>
          <w:rFonts w:ascii="微软雅黑" w:hAnsi="微软雅黑" w:eastAsia="微软雅黑" w:cs="微软雅黑"/>
          <w:i w:val="0"/>
          <w:iCs w:val="0"/>
          <w:caps w:val="0"/>
          <w:color w:val="000000"/>
          <w:spacing w:val="0"/>
          <w:sz w:val="27"/>
          <w:szCs w:val="27"/>
        </w:rPr>
        <w:t>评审标准表（综合评分法）</w:t>
      </w:r>
    </w:p>
    <w:tbl>
      <w:tblPr>
        <w:tblStyle w:val="5"/>
        <w:tblpPr w:leftFromText="180" w:rightFromText="180" w:vertAnchor="text" w:horzAnchor="page" w:tblpX="1089" w:tblpY="406"/>
        <w:tblOverlap w:val="never"/>
        <w:tblW w:w="97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58"/>
        <w:gridCol w:w="2040"/>
        <w:gridCol w:w="6681"/>
      </w:tblGrid>
      <w:tr w14:paraId="6EEA9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rPr>
        <w:tc>
          <w:tcPr>
            <w:tcW w:w="1058" w:type="dxa"/>
            <w:noWrap w:val="0"/>
            <w:vAlign w:val="center"/>
          </w:tcPr>
          <w:p w14:paraId="40D35A85">
            <w:pPr>
              <w:keepNext w:val="0"/>
              <w:keepLines w:val="0"/>
              <w:pageBreakBefore w:val="0"/>
              <w:widowControl w:val="0"/>
              <w:kinsoku/>
              <w:overflowPunct/>
              <w:topLinePunct w:val="0"/>
              <w:bidi w:val="0"/>
              <w:spacing w:line="360" w:lineRule="auto"/>
              <w:ind w:left="0"/>
              <w:jc w:val="center"/>
              <w:textAlignment w:val="auto"/>
              <w:rPr>
                <w:rFonts w:hint="eastAsia" w:ascii="宋体" w:hAnsi="宋体" w:eastAsia="宋体" w:cs="宋体"/>
                <w:b/>
                <w:color w:val="auto"/>
                <w:sz w:val="21"/>
                <w:szCs w:val="21"/>
                <w:highlight w:val="none"/>
              </w:rPr>
            </w:pPr>
            <w:bookmarkStart w:id="0" w:name="_Toc9130"/>
            <w:bookmarkStart w:id="1" w:name="_Toc11596"/>
            <w:bookmarkStart w:id="2" w:name="_Toc25580"/>
            <w:r>
              <w:rPr>
                <w:rFonts w:hint="eastAsia" w:ascii="宋体" w:hAnsi="宋体" w:eastAsia="宋体" w:cs="宋体"/>
                <w:b/>
                <w:color w:val="auto"/>
                <w:sz w:val="21"/>
                <w:szCs w:val="21"/>
                <w:highlight w:val="none"/>
              </w:rPr>
              <w:t>评分项</w:t>
            </w:r>
          </w:p>
        </w:tc>
        <w:tc>
          <w:tcPr>
            <w:tcW w:w="2040" w:type="dxa"/>
            <w:noWrap w:val="0"/>
            <w:vAlign w:val="center"/>
          </w:tcPr>
          <w:p w14:paraId="53B86351">
            <w:pPr>
              <w:keepNext w:val="0"/>
              <w:keepLines w:val="0"/>
              <w:pageBreakBefore w:val="0"/>
              <w:widowControl w:val="0"/>
              <w:kinsoku/>
              <w:overflowPunct/>
              <w:topLinePunct w:val="0"/>
              <w:bidi w:val="0"/>
              <w:spacing w:line="360" w:lineRule="auto"/>
              <w:ind w:left="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评审内容</w:t>
            </w:r>
          </w:p>
        </w:tc>
        <w:tc>
          <w:tcPr>
            <w:tcW w:w="6681" w:type="dxa"/>
            <w:noWrap w:val="0"/>
            <w:vAlign w:val="center"/>
          </w:tcPr>
          <w:p w14:paraId="0EB1EEC0">
            <w:pPr>
              <w:keepNext w:val="0"/>
              <w:keepLines w:val="0"/>
              <w:pageBreakBefore w:val="0"/>
              <w:widowControl w:val="0"/>
              <w:kinsoku/>
              <w:overflowPunct/>
              <w:topLinePunct w:val="0"/>
              <w:bidi w:val="0"/>
              <w:spacing w:line="360" w:lineRule="auto"/>
              <w:ind w:left="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评分准则</w:t>
            </w:r>
          </w:p>
        </w:tc>
      </w:tr>
      <w:tr w14:paraId="31BCD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rPr>
        <w:tc>
          <w:tcPr>
            <w:tcW w:w="1058" w:type="dxa"/>
            <w:noWrap w:val="0"/>
            <w:vAlign w:val="center"/>
          </w:tcPr>
          <w:p w14:paraId="1B6A9159">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比选报价</w:t>
            </w:r>
          </w:p>
        </w:tc>
        <w:tc>
          <w:tcPr>
            <w:tcW w:w="2040" w:type="dxa"/>
            <w:noWrap w:val="0"/>
            <w:vAlign w:val="center"/>
          </w:tcPr>
          <w:p w14:paraId="1CCB0BB2">
            <w:pPr>
              <w:pStyle w:val="2"/>
              <w:keepNext w:val="0"/>
              <w:keepLines w:val="0"/>
              <w:pageBreakBefore w:val="0"/>
              <w:widowControl w:val="0"/>
              <w:kinsoku/>
              <w:wordWrap/>
              <w:overflowPunct/>
              <w:topLinePunct w:val="0"/>
              <w:bidi w:val="0"/>
              <w:snapToGrid/>
              <w:spacing w:before="46" w:line="288" w:lineRule="auto"/>
              <w:ind w:right="26" w:righ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highlight w:val="none"/>
              </w:rPr>
              <w:t>报价</w:t>
            </w:r>
            <w:r>
              <w:rPr>
                <w:rFonts w:hint="eastAsia" w:ascii="宋体" w:hAnsi="宋体" w:eastAsia="宋体" w:cs="宋体"/>
                <w:color w:val="auto"/>
                <w:sz w:val="21"/>
                <w:szCs w:val="21"/>
                <w:highlight w:val="none"/>
                <w:lang w:eastAsia="zh-CN"/>
              </w:rPr>
              <w:t>得分（</w:t>
            </w:r>
            <w:r>
              <w:rPr>
                <w:rFonts w:hint="eastAsia" w:ascii="宋体" w:hAnsi="宋体" w:eastAsia="宋体" w:cs="宋体"/>
                <w:color w:val="auto"/>
                <w:sz w:val="21"/>
                <w:szCs w:val="21"/>
                <w:highlight w:val="none"/>
                <w:lang w:val="en-US" w:eastAsia="zh-CN"/>
              </w:rPr>
              <w:t>30分</w:t>
            </w:r>
            <w:r>
              <w:rPr>
                <w:rFonts w:hint="eastAsia" w:ascii="宋体" w:hAnsi="宋体" w:eastAsia="宋体" w:cs="宋体"/>
                <w:color w:val="auto"/>
                <w:sz w:val="21"/>
                <w:szCs w:val="21"/>
                <w:highlight w:val="none"/>
                <w:lang w:eastAsia="zh-CN"/>
              </w:rPr>
              <w:t>）</w:t>
            </w:r>
          </w:p>
        </w:tc>
        <w:tc>
          <w:tcPr>
            <w:tcW w:w="6681" w:type="dxa"/>
            <w:noWrap w:val="0"/>
            <w:vAlign w:val="center"/>
          </w:tcPr>
          <w:p w14:paraId="21C4236D">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40" w:lineRule="exact"/>
              <w:ind w:right="0" w:rightChars="0" w:firstLine="420" w:firstLineChars="200"/>
              <w:jc w:val="left"/>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经评审后的所有报价的算术平均数为最优报价，得最高分</w:t>
            </w:r>
            <w:r>
              <w:rPr>
                <w:rFonts w:hint="eastAsia" w:eastAsia="宋体" w:cs="宋体"/>
                <w:b w:val="0"/>
                <w:bCs w:val="0"/>
                <w:kern w:val="2"/>
                <w:sz w:val="21"/>
                <w:szCs w:val="21"/>
                <w:lang w:val="en-US" w:eastAsia="zh-CN" w:bidi="ar-SA"/>
              </w:rPr>
              <w:t>30</w:t>
            </w:r>
            <w:r>
              <w:rPr>
                <w:rFonts w:hint="eastAsia" w:ascii="宋体" w:hAnsi="宋体" w:eastAsia="宋体" w:cs="宋体"/>
                <w:b w:val="0"/>
                <w:bCs w:val="0"/>
                <w:kern w:val="2"/>
                <w:sz w:val="21"/>
                <w:szCs w:val="21"/>
                <w:lang w:val="en-US" w:eastAsia="zh-CN" w:bidi="ar-SA"/>
              </w:rPr>
              <w:t>分。其余报价与最优报价相比较，每增加1%扣1分，扣完为止。</w:t>
            </w:r>
          </w:p>
          <w:p w14:paraId="0EE732E0">
            <w:pPr>
              <w:pStyle w:val="2"/>
              <w:keepNext w:val="0"/>
              <w:keepLines w:val="0"/>
              <w:pageBreakBefore w:val="0"/>
              <w:widowControl w:val="0"/>
              <w:kinsoku/>
              <w:wordWrap/>
              <w:overflowPunct/>
              <w:topLinePunct w:val="0"/>
              <w:bidi w:val="0"/>
              <w:snapToGrid/>
              <w:spacing w:before="46" w:line="288" w:lineRule="auto"/>
              <w:ind w:right="26" w:rightChars="0" w:firstLine="420" w:firstLineChars="200"/>
              <w:jc w:val="left"/>
              <w:textAlignment w:val="auto"/>
              <w:rPr>
                <w:rFonts w:hint="eastAsia" w:ascii="宋体" w:hAnsi="宋体" w:eastAsia="宋体" w:cs="宋体"/>
                <w:color w:val="auto"/>
                <w:sz w:val="21"/>
                <w:szCs w:val="21"/>
              </w:rPr>
            </w:pPr>
          </w:p>
        </w:tc>
      </w:tr>
      <w:tr w14:paraId="2EEF8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rPr>
        <w:tc>
          <w:tcPr>
            <w:tcW w:w="1058" w:type="dxa"/>
            <w:noWrap w:val="0"/>
            <w:vAlign w:val="center"/>
          </w:tcPr>
          <w:p w14:paraId="248D1F8D">
            <w:pPr>
              <w:keepNext w:val="0"/>
              <w:keepLines w:val="0"/>
              <w:pageBreakBefore w:val="0"/>
              <w:widowControl w:val="0"/>
              <w:kinsoku/>
              <w:overflowPunct/>
              <w:topLinePunct w:val="0"/>
              <w:bidi w:val="0"/>
              <w:spacing w:line="360" w:lineRule="auto"/>
              <w:ind w:lef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技术部分（50分）</w:t>
            </w:r>
          </w:p>
        </w:tc>
        <w:tc>
          <w:tcPr>
            <w:tcW w:w="2040" w:type="dxa"/>
            <w:noWrap w:val="0"/>
            <w:vAlign w:val="center"/>
          </w:tcPr>
          <w:p w14:paraId="052CC827">
            <w:pPr>
              <w:keepNext w:val="0"/>
              <w:keepLines w:val="0"/>
              <w:pageBreakBefore w:val="0"/>
              <w:widowControl w:val="0"/>
              <w:kinsoku/>
              <w:wordWrap/>
              <w:overflowPunct/>
              <w:topLinePunct w:val="0"/>
              <w:bidi w:val="0"/>
              <w:adjustRightInd w:val="0"/>
              <w:snapToGrid/>
              <w:spacing w:line="36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维保方案</w:t>
            </w:r>
          </w:p>
          <w:p w14:paraId="440A6081">
            <w:pPr>
              <w:keepNext w:val="0"/>
              <w:keepLines w:val="0"/>
              <w:pageBreakBefore w:val="0"/>
              <w:widowControl w:val="0"/>
              <w:kinsoku/>
              <w:wordWrap/>
              <w:overflowPunct/>
              <w:topLinePunct w:val="0"/>
              <w:bidi w:val="0"/>
              <w:adjustRightInd w:val="0"/>
              <w:snapToGrid/>
              <w:spacing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50</w:t>
            </w:r>
            <w:r>
              <w:rPr>
                <w:rFonts w:hint="eastAsia" w:ascii="宋体" w:hAnsi="宋体" w:eastAsia="宋体" w:cs="宋体"/>
                <w:color w:val="auto"/>
                <w:sz w:val="21"/>
                <w:szCs w:val="21"/>
                <w:highlight w:val="none"/>
              </w:rPr>
              <w:t>分）</w:t>
            </w:r>
          </w:p>
        </w:tc>
        <w:tc>
          <w:tcPr>
            <w:tcW w:w="6681" w:type="dxa"/>
            <w:noWrap w:val="0"/>
            <w:vAlign w:val="top"/>
          </w:tcPr>
          <w:p w14:paraId="487A365B">
            <w:pPr>
              <w:keepNext w:val="0"/>
              <w:keepLines w:val="0"/>
              <w:pageBreakBefore w:val="0"/>
              <w:widowControl w:val="0"/>
              <w:kinsoku/>
              <w:wordWrap/>
              <w:overflowPunct/>
              <w:topLinePunct w:val="0"/>
              <w:autoSpaceDE/>
              <w:autoSpaceDN/>
              <w:bidi w:val="0"/>
              <w:adjustRightInd w:val="0"/>
              <w:snapToGrid w:val="0"/>
              <w:spacing w:line="360" w:lineRule="auto"/>
              <w:ind w:left="0" w:firstLine="525" w:firstLineChars="2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根据供应商具有详细、全面、切实可行的项目</w:t>
            </w:r>
            <w:r>
              <w:rPr>
                <w:rFonts w:hint="eastAsia" w:ascii="宋体" w:hAnsi="宋体" w:eastAsia="宋体" w:cs="宋体"/>
                <w:color w:val="auto"/>
                <w:sz w:val="21"/>
                <w:szCs w:val="21"/>
                <w:highlight w:val="none"/>
                <w:lang w:val="en-US" w:eastAsia="zh-CN"/>
              </w:rPr>
              <w:t>维保</w:t>
            </w:r>
            <w:r>
              <w:rPr>
                <w:rFonts w:hint="eastAsia" w:ascii="宋体" w:hAnsi="宋体" w:eastAsia="宋体" w:cs="宋体"/>
                <w:color w:val="auto"/>
                <w:sz w:val="21"/>
                <w:szCs w:val="21"/>
                <w:highlight w:val="none"/>
              </w:rPr>
              <w:t>技术力量、</w:t>
            </w:r>
            <w:r>
              <w:rPr>
                <w:rFonts w:hint="eastAsia" w:ascii="宋体" w:hAnsi="宋体" w:eastAsia="宋体" w:cs="宋体"/>
                <w:color w:val="auto"/>
                <w:sz w:val="21"/>
                <w:szCs w:val="21"/>
                <w:highlight w:val="none"/>
                <w:lang w:val="en-US" w:eastAsia="zh-CN"/>
              </w:rPr>
              <w:t>维保</w:t>
            </w:r>
            <w:r>
              <w:rPr>
                <w:rFonts w:hint="eastAsia" w:ascii="宋体" w:hAnsi="宋体" w:eastAsia="宋体" w:cs="宋体"/>
                <w:color w:val="auto"/>
                <w:sz w:val="21"/>
                <w:szCs w:val="21"/>
                <w:highlight w:val="none"/>
              </w:rPr>
              <w:t>方案和计划、供应商人员及所需设施配备情况进行打分：</w:t>
            </w:r>
          </w:p>
          <w:p w14:paraId="32966F3E">
            <w:pPr>
              <w:keepNext w:val="0"/>
              <w:keepLines w:val="0"/>
              <w:pageBreakBefore w:val="0"/>
              <w:widowControl w:val="0"/>
              <w:kinsoku/>
              <w:wordWrap/>
              <w:overflowPunct/>
              <w:topLinePunct w:val="0"/>
              <w:autoSpaceDE/>
              <w:autoSpaceDN/>
              <w:bidi w:val="0"/>
              <w:adjustRightInd w:val="0"/>
              <w:snapToGrid w:val="0"/>
              <w:spacing w:line="360" w:lineRule="auto"/>
              <w:ind w:left="0" w:firstLine="525" w:firstLineChars="2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有详细的项目整体</w:t>
            </w:r>
            <w:r>
              <w:rPr>
                <w:rFonts w:hint="eastAsia" w:ascii="宋体" w:hAnsi="宋体" w:eastAsia="宋体" w:cs="宋体"/>
                <w:color w:val="auto"/>
                <w:sz w:val="21"/>
                <w:szCs w:val="21"/>
                <w:highlight w:val="none"/>
                <w:lang w:val="en-US" w:eastAsia="zh-CN"/>
              </w:rPr>
              <w:t>维保</w:t>
            </w:r>
            <w:r>
              <w:rPr>
                <w:rFonts w:hint="eastAsia" w:ascii="宋体" w:hAnsi="宋体" w:eastAsia="宋体" w:cs="宋体"/>
                <w:color w:val="auto"/>
                <w:sz w:val="21"/>
                <w:szCs w:val="21"/>
                <w:highlight w:val="none"/>
              </w:rPr>
              <w:t>方案，且具有详细可行的</w:t>
            </w:r>
            <w:r>
              <w:rPr>
                <w:rFonts w:hint="eastAsia" w:ascii="宋体" w:hAnsi="宋体" w:eastAsia="宋体" w:cs="宋体"/>
                <w:color w:val="auto"/>
                <w:sz w:val="21"/>
                <w:szCs w:val="21"/>
                <w:highlight w:val="none"/>
                <w:lang w:val="en-US" w:eastAsia="zh-CN"/>
              </w:rPr>
              <w:t>维保</w:t>
            </w:r>
            <w:r>
              <w:rPr>
                <w:rFonts w:hint="eastAsia" w:ascii="宋体" w:hAnsi="宋体" w:eastAsia="宋体" w:cs="宋体"/>
                <w:color w:val="auto"/>
                <w:sz w:val="21"/>
                <w:szCs w:val="21"/>
                <w:highlight w:val="none"/>
              </w:rPr>
              <w:t>计划和明确的工作流程，各项内容科学、严谨，完全符合项目特点的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40分≤得分≤50</w:t>
            </w:r>
            <w:r>
              <w:rPr>
                <w:rFonts w:hint="eastAsia" w:ascii="宋体" w:hAnsi="宋体" w:eastAsia="宋体" w:cs="宋体"/>
                <w:color w:val="auto"/>
                <w:sz w:val="21"/>
                <w:szCs w:val="21"/>
                <w:highlight w:val="none"/>
              </w:rPr>
              <w:t>分；</w:t>
            </w:r>
          </w:p>
          <w:p w14:paraId="53AC3D12">
            <w:pPr>
              <w:keepNext w:val="0"/>
              <w:keepLines w:val="0"/>
              <w:pageBreakBefore w:val="0"/>
              <w:widowControl w:val="0"/>
              <w:kinsoku/>
              <w:wordWrap/>
              <w:overflowPunct/>
              <w:topLinePunct w:val="0"/>
              <w:autoSpaceDE/>
              <w:autoSpaceDN/>
              <w:bidi w:val="0"/>
              <w:adjustRightInd w:val="0"/>
              <w:snapToGrid w:val="0"/>
              <w:spacing w:line="360" w:lineRule="auto"/>
              <w:ind w:left="0" w:firstLine="525" w:firstLineChars="2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有较详细的项目</w:t>
            </w:r>
            <w:r>
              <w:rPr>
                <w:rFonts w:hint="eastAsia" w:ascii="宋体" w:hAnsi="宋体" w:eastAsia="宋体" w:cs="宋体"/>
                <w:color w:val="auto"/>
                <w:sz w:val="21"/>
                <w:szCs w:val="21"/>
                <w:highlight w:val="none"/>
                <w:lang w:val="en-US" w:eastAsia="zh-CN"/>
              </w:rPr>
              <w:t>维保</w:t>
            </w:r>
            <w:r>
              <w:rPr>
                <w:rFonts w:hint="eastAsia" w:ascii="宋体" w:hAnsi="宋体" w:eastAsia="宋体" w:cs="宋体"/>
                <w:color w:val="auto"/>
                <w:sz w:val="21"/>
                <w:szCs w:val="21"/>
                <w:highlight w:val="none"/>
              </w:rPr>
              <w:t>方案，且具有较为详细可行的</w:t>
            </w:r>
            <w:r>
              <w:rPr>
                <w:rFonts w:hint="eastAsia" w:ascii="宋体" w:hAnsi="宋体" w:eastAsia="宋体" w:cs="宋体"/>
                <w:color w:val="auto"/>
                <w:sz w:val="21"/>
                <w:szCs w:val="21"/>
                <w:highlight w:val="none"/>
                <w:lang w:val="en-US" w:eastAsia="zh-CN"/>
              </w:rPr>
              <w:t>维保</w:t>
            </w:r>
            <w:r>
              <w:rPr>
                <w:rFonts w:hint="eastAsia" w:ascii="宋体" w:hAnsi="宋体" w:eastAsia="宋体" w:cs="宋体"/>
                <w:color w:val="auto"/>
                <w:sz w:val="21"/>
                <w:szCs w:val="21"/>
                <w:highlight w:val="none"/>
              </w:rPr>
              <w:t>计划和的工作流程，措施较科学、完整，满足项目需求的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20≤得分＜40</w:t>
            </w:r>
            <w:r>
              <w:rPr>
                <w:rFonts w:hint="eastAsia" w:ascii="宋体" w:hAnsi="宋体" w:eastAsia="宋体" w:cs="宋体"/>
                <w:color w:val="auto"/>
                <w:sz w:val="21"/>
                <w:szCs w:val="21"/>
                <w:highlight w:val="none"/>
              </w:rPr>
              <w:t>分；</w:t>
            </w:r>
          </w:p>
          <w:p w14:paraId="0A8936E7">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25" w:firstLineChars="25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有较详细的项目</w:t>
            </w:r>
            <w:r>
              <w:rPr>
                <w:rFonts w:hint="eastAsia" w:ascii="宋体" w:hAnsi="宋体" w:eastAsia="宋体" w:cs="宋体"/>
                <w:color w:val="auto"/>
                <w:sz w:val="21"/>
                <w:szCs w:val="21"/>
                <w:highlight w:val="none"/>
                <w:lang w:val="en-US" w:eastAsia="zh-CN"/>
              </w:rPr>
              <w:t>维保</w:t>
            </w:r>
            <w:r>
              <w:rPr>
                <w:rFonts w:hint="eastAsia" w:ascii="宋体" w:hAnsi="宋体" w:eastAsia="宋体" w:cs="宋体"/>
                <w:color w:val="auto"/>
                <w:sz w:val="21"/>
                <w:szCs w:val="21"/>
                <w:highlight w:val="none"/>
              </w:rPr>
              <w:t>方案，但实施计划和的工作流程一般，基本满足项目需求的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0≤得分＜20</w:t>
            </w:r>
            <w:r>
              <w:rPr>
                <w:rFonts w:hint="eastAsia" w:ascii="宋体" w:hAnsi="宋体" w:eastAsia="宋体" w:cs="宋体"/>
                <w:color w:val="auto"/>
                <w:sz w:val="21"/>
                <w:szCs w:val="21"/>
                <w:highlight w:val="none"/>
              </w:rPr>
              <w:t>分；没有提供的得0分。</w:t>
            </w:r>
          </w:p>
        </w:tc>
      </w:tr>
      <w:tr w14:paraId="4B1E4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rPr>
        <w:tc>
          <w:tcPr>
            <w:tcW w:w="1058" w:type="dxa"/>
            <w:noWrap w:val="0"/>
            <w:vAlign w:val="center"/>
          </w:tcPr>
          <w:p w14:paraId="26790DA1">
            <w:pPr>
              <w:keepNext w:val="0"/>
              <w:keepLines w:val="0"/>
              <w:pageBreakBefore w:val="0"/>
              <w:widowControl w:val="0"/>
              <w:kinsoku/>
              <w:overflowPunct/>
              <w:topLinePunct w:val="0"/>
              <w:bidi w:val="0"/>
              <w:spacing w:line="360" w:lineRule="auto"/>
              <w:ind w:left="0"/>
              <w:jc w:val="center"/>
              <w:textAlignment w:val="auto"/>
              <w:rPr>
                <w:rFonts w:hint="eastAsia" w:ascii="宋体" w:hAnsi="宋体" w:eastAsia="宋体" w:cs="宋体"/>
                <w:color w:val="auto"/>
                <w:sz w:val="21"/>
                <w:szCs w:val="21"/>
                <w:highlight w:val="none"/>
              </w:rPr>
            </w:pPr>
            <w:r>
              <w:rPr>
                <w:rFonts w:hint="eastAsia" w:ascii="宋体" w:hAnsi="宋体" w:cs="宋体"/>
                <w:szCs w:val="21"/>
              </w:rPr>
              <w:t>商务部分（20分）</w:t>
            </w:r>
          </w:p>
        </w:tc>
        <w:tc>
          <w:tcPr>
            <w:tcW w:w="2040" w:type="dxa"/>
            <w:noWrap w:val="0"/>
            <w:vAlign w:val="center"/>
          </w:tcPr>
          <w:p w14:paraId="72BDAE75">
            <w:pPr>
              <w:keepNext w:val="0"/>
              <w:keepLines w:val="0"/>
              <w:pageBreakBefore w:val="0"/>
              <w:widowControl w:val="0"/>
              <w:kinsoku/>
              <w:wordWrap/>
              <w:overflowPunct/>
              <w:topLinePunct w:val="0"/>
              <w:bidi w:val="0"/>
              <w:snapToGrid/>
              <w:spacing w:line="360" w:lineRule="auto"/>
              <w:ind w:lef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服务</w:t>
            </w:r>
          </w:p>
          <w:p w14:paraId="54B6FB77">
            <w:pPr>
              <w:keepNext w:val="0"/>
              <w:keepLines w:val="0"/>
              <w:pageBreakBefore w:val="0"/>
              <w:widowControl w:val="0"/>
              <w:kinsoku/>
              <w:wordWrap/>
              <w:overflowPunct/>
              <w:topLinePunct w:val="0"/>
              <w:bidi w:val="0"/>
              <w:snapToGrid/>
              <w:spacing w:line="360" w:lineRule="auto"/>
              <w:ind w:left="0" w:leftChars="0"/>
              <w:jc w:val="center"/>
              <w:textAlignment w:val="auto"/>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lang w:val="en-US" w:eastAsia="zh-CN"/>
              </w:rPr>
              <w:t>（20分</w:t>
            </w:r>
            <w:r>
              <w:rPr>
                <w:rFonts w:hint="eastAsia" w:ascii="宋体" w:hAnsi="宋体" w:eastAsia="宋体" w:cs="宋体"/>
                <w:color w:val="auto"/>
                <w:sz w:val="21"/>
                <w:szCs w:val="21"/>
                <w:highlight w:val="none"/>
              </w:rPr>
              <w:t>）</w:t>
            </w:r>
          </w:p>
        </w:tc>
        <w:tc>
          <w:tcPr>
            <w:tcW w:w="6681" w:type="dxa"/>
            <w:tcBorders>
              <w:bottom w:val="single" w:color="auto" w:sz="4" w:space="0"/>
            </w:tcBorders>
            <w:noWrap w:val="0"/>
            <w:vAlign w:val="center"/>
          </w:tcPr>
          <w:p w14:paraId="0DB0ADAB">
            <w:pPr>
              <w:pStyle w:val="7"/>
              <w:keepNext w:val="0"/>
              <w:keepLines w:val="0"/>
              <w:pageBreakBefore w:val="0"/>
              <w:widowControl w:val="0"/>
              <w:numPr>
                <w:ilvl w:val="0"/>
                <w:numId w:val="0"/>
              </w:numPr>
              <w:kinsoku/>
              <w:wordWrap/>
              <w:overflowPunct/>
              <w:topLinePunct w:val="0"/>
              <w:bidi w:val="0"/>
              <w:adjustRightInd w:val="0"/>
              <w:snapToGrid/>
              <w:spacing w:line="360" w:lineRule="auto"/>
              <w:ind w:left="0" w:firstLine="525" w:firstLineChars="250"/>
              <w:jc w:val="both"/>
              <w:textAlignment w:val="auto"/>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能提供详细的服务</w:t>
            </w:r>
            <w:r>
              <w:rPr>
                <w:rFonts w:hint="eastAsia" w:hAnsi="宋体" w:cs="宋体"/>
                <w:color w:val="auto"/>
                <w:kern w:val="2"/>
                <w:sz w:val="21"/>
                <w:szCs w:val="21"/>
                <w:highlight w:val="none"/>
                <w:lang w:val="en-US" w:eastAsia="zh-CN"/>
              </w:rPr>
              <w:t>响应</w:t>
            </w:r>
            <w:r>
              <w:rPr>
                <w:rFonts w:hint="eastAsia" w:ascii="宋体" w:hAnsi="宋体" w:eastAsia="宋体" w:cs="宋体"/>
                <w:color w:val="auto"/>
                <w:kern w:val="2"/>
                <w:sz w:val="21"/>
                <w:szCs w:val="21"/>
                <w:highlight w:val="none"/>
                <w:lang w:eastAsia="zh-CN"/>
              </w:rPr>
              <w:t>方案</w:t>
            </w:r>
            <w:r>
              <w:rPr>
                <w:rFonts w:hint="eastAsia" w:ascii="宋体" w:hAnsi="宋体" w:eastAsia="宋体" w:cs="宋体"/>
                <w:color w:val="auto"/>
                <w:kern w:val="2"/>
                <w:sz w:val="21"/>
                <w:szCs w:val="21"/>
                <w:highlight w:val="none"/>
              </w:rPr>
              <w:t>,包括服务响应时间、解决问题时间等(评委根据各</w:t>
            </w:r>
            <w:r>
              <w:rPr>
                <w:rFonts w:hint="eastAsia" w:ascii="宋体" w:hAnsi="宋体" w:eastAsia="宋体" w:cs="宋体"/>
                <w:color w:val="auto"/>
                <w:kern w:val="2"/>
                <w:sz w:val="21"/>
                <w:szCs w:val="21"/>
                <w:highlight w:val="none"/>
                <w:lang w:eastAsia="zh-CN"/>
              </w:rPr>
              <w:t>供应商</w:t>
            </w:r>
            <w:r>
              <w:rPr>
                <w:rFonts w:hint="eastAsia" w:ascii="宋体" w:hAnsi="宋体" w:eastAsia="宋体" w:cs="宋体"/>
                <w:color w:val="auto"/>
                <w:kern w:val="2"/>
                <w:sz w:val="21"/>
                <w:szCs w:val="21"/>
                <w:highlight w:val="none"/>
              </w:rPr>
              <w:t>的应答情况具有针对性、完善、合理的，</w:t>
            </w:r>
            <w:r>
              <w:rPr>
                <w:rFonts w:hint="eastAsia" w:ascii="宋体" w:hAnsi="宋体" w:eastAsia="宋体" w:cs="宋体"/>
                <w:color w:val="auto"/>
                <w:sz w:val="21"/>
                <w:szCs w:val="21"/>
                <w:highlight w:val="none"/>
                <w:lang w:val="en-US" w:eastAsia="zh-CN"/>
              </w:rPr>
              <w:t>10≤得分＜20</w:t>
            </w:r>
            <w:r>
              <w:rPr>
                <w:rFonts w:hint="eastAsia" w:ascii="宋体" w:hAnsi="宋体" w:eastAsia="宋体" w:cs="宋体"/>
                <w:color w:val="auto"/>
                <w:sz w:val="21"/>
                <w:szCs w:val="21"/>
                <w:highlight w:val="none"/>
              </w:rPr>
              <w:t>分</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 xml:space="preserve"> </w:t>
            </w:r>
          </w:p>
          <w:p w14:paraId="1D75BB78">
            <w:pPr>
              <w:pStyle w:val="7"/>
              <w:keepNext w:val="0"/>
              <w:keepLines w:val="0"/>
              <w:pageBreakBefore w:val="0"/>
              <w:widowControl w:val="0"/>
              <w:numPr>
                <w:ilvl w:val="0"/>
                <w:numId w:val="0"/>
              </w:numPr>
              <w:kinsoku/>
              <w:wordWrap/>
              <w:overflowPunct/>
              <w:topLinePunct w:val="0"/>
              <w:bidi w:val="0"/>
              <w:adjustRightInd w:val="0"/>
              <w:snapToGrid/>
              <w:spacing w:line="360" w:lineRule="auto"/>
              <w:ind w:left="0" w:firstLine="525" w:firstLineChars="25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一般、基本满足甲方需求</w:t>
            </w:r>
            <w:r>
              <w:rPr>
                <w:rFonts w:hint="eastAsia" w:ascii="宋体" w:hAnsi="宋体" w:eastAsia="宋体" w:cs="宋体"/>
                <w:color w:val="auto"/>
                <w:kern w:val="2"/>
                <w:sz w:val="21"/>
                <w:szCs w:val="21"/>
                <w:highlight w:val="none"/>
                <w:lang w:eastAsia="zh-CN"/>
              </w:rPr>
              <w:t>的</w:t>
            </w:r>
            <w:r>
              <w:rPr>
                <w:rFonts w:hint="eastAsia" w:ascii="宋体" w:hAnsi="宋体" w:eastAsia="宋体" w:cs="宋体"/>
                <w:color w:val="auto"/>
                <w:kern w:val="2"/>
                <w:sz w:val="21"/>
                <w:szCs w:val="21"/>
                <w:highlight w:val="none"/>
              </w:rPr>
              <w:t>，</w:t>
            </w: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sz w:val="21"/>
                <w:szCs w:val="21"/>
                <w:highlight w:val="none"/>
                <w:lang w:val="en-US" w:eastAsia="zh-CN"/>
              </w:rPr>
              <w:t>≤得分＜10</w:t>
            </w:r>
            <w:r>
              <w:rPr>
                <w:rFonts w:hint="eastAsia" w:ascii="宋体" w:hAnsi="宋体" w:eastAsia="宋体" w:cs="宋体"/>
                <w:color w:val="auto"/>
                <w:sz w:val="21"/>
                <w:szCs w:val="21"/>
                <w:highlight w:val="none"/>
              </w:rPr>
              <w:t>分</w:t>
            </w:r>
            <w:r>
              <w:rPr>
                <w:rFonts w:hint="eastAsia" w:ascii="宋体" w:hAnsi="宋体" w:eastAsia="宋体" w:cs="宋体"/>
                <w:color w:val="auto"/>
                <w:kern w:val="2"/>
                <w:sz w:val="21"/>
                <w:szCs w:val="21"/>
                <w:highlight w:val="none"/>
              </w:rPr>
              <w:t>；</w:t>
            </w:r>
          </w:p>
          <w:p w14:paraId="7F515048">
            <w:pPr>
              <w:pStyle w:val="7"/>
              <w:keepNext w:val="0"/>
              <w:keepLines w:val="0"/>
              <w:pageBreakBefore w:val="0"/>
              <w:widowControl w:val="0"/>
              <w:numPr>
                <w:ilvl w:val="0"/>
                <w:numId w:val="0"/>
              </w:numPr>
              <w:kinsoku/>
              <w:wordWrap/>
              <w:overflowPunct/>
              <w:topLinePunct w:val="0"/>
              <w:bidi w:val="0"/>
              <w:adjustRightInd w:val="0"/>
              <w:snapToGrid/>
              <w:spacing w:line="360" w:lineRule="auto"/>
              <w:ind w:left="0" w:firstLine="525" w:firstLineChars="25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rPr>
              <w:t>较差，不能满足甲方需求</w:t>
            </w:r>
            <w:r>
              <w:rPr>
                <w:rFonts w:hint="eastAsia" w:ascii="宋体" w:hAnsi="宋体" w:eastAsia="宋体" w:cs="宋体"/>
                <w:color w:val="auto"/>
                <w:kern w:val="2"/>
                <w:sz w:val="21"/>
                <w:szCs w:val="21"/>
                <w:highlight w:val="none"/>
                <w:lang w:eastAsia="zh-CN"/>
              </w:rPr>
              <w:t>的，</w:t>
            </w:r>
            <w:r>
              <w:rPr>
                <w:rFonts w:hint="eastAsia" w:ascii="宋体" w:hAnsi="宋体" w:eastAsia="宋体" w:cs="宋体"/>
                <w:color w:val="auto"/>
                <w:kern w:val="2"/>
                <w:sz w:val="21"/>
                <w:szCs w:val="21"/>
                <w:highlight w:val="none"/>
                <w:lang w:val="en-US" w:eastAsia="zh-CN"/>
              </w:rPr>
              <w:t>0</w:t>
            </w:r>
            <w:r>
              <w:rPr>
                <w:rFonts w:hint="eastAsia" w:ascii="宋体" w:hAnsi="宋体" w:eastAsia="宋体" w:cs="宋体"/>
                <w:color w:val="auto"/>
                <w:sz w:val="21"/>
                <w:szCs w:val="21"/>
                <w:highlight w:val="none"/>
                <w:lang w:val="en-US" w:eastAsia="zh-CN"/>
              </w:rPr>
              <w:t>≤得分＜5</w:t>
            </w:r>
            <w:r>
              <w:rPr>
                <w:rFonts w:hint="eastAsia" w:ascii="宋体" w:hAnsi="宋体" w:eastAsia="宋体" w:cs="宋体"/>
                <w:color w:val="auto"/>
                <w:sz w:val="21"/>
                <w:szCs w:val="21"/>
                <w:highlight w:val="none"/>
              </w:rPr>
              <w:t>分</w:t>
            </w:r>
            <w:r>
              <w:rPr>
                <w:rFonts w:hint="eastAsia" w:ascii="宋体" w:hAnsi="宋体" w:eastAsia="宋体" w:cs="宋体"/>
                <w:color w:val="auto"/>
                <w:kern w:val="2"/>
                <w:sz w:val="21"/>
                <w:szCs w:val="21"/>
                <w:highlight w:val="none"/>
              </w:rPr>
              <w:t>；</w:t>
            </w:r>
            <w:r>
              <w:rPr>
                <w:rFonts w:hint="eastAsia" w:ascii="宋体" w:hAnsi="宋体" w:eastAsia="宋体" w:cs="宋体"/>
                <w:color w:val="auto"/>
                <w:sz w:val="21"/>
                <w:szCs w:val="21"/>
                <w:highlight w:val="none"/>
              </w:rPr>
              <w:t>没有提供的得0分。</w:t>
            </w:r>
            <w:r>
              <w:rPr>
                <w:rFonts w:hint="eastAsia" w:ascii="宋体" w:hAnsi="宋体" w:eastAsia="宋体" w:cs="宋体"/>
                <w:color w:val="auto"/>
                <w:kern w:val="2"/>
                <w:sz w:val="21"/>
                <w:szCs w:val="21"/>
                <w:highlight w:val="none"/>
              </w:rPr>
              <w:t>)</w:t>
            </w:r>
          </w:p>
        </w:tc>
      </w:tr>
      <w:bookmarkEnd w:id="0"/>
      <w:bookmarkEnd w:id="1"/>
      <w:bookmarkEnd w:id="2"/>
    </w:tbl>
    <w:p w14:paraId="42BC5739">
      <w:pPr>
        <w:jc w:val="left"/>
        <w:rPr>
          <w:rFonts w:hint="eastAsia" w:ascii="黑体" w:hAnsi="黑体" w:eastAsia="黑体" w:cs="黑体"/>
          <w:sz w:val="32"/>
          <w:szCs w:val="32"/>
        </w:rPr>
      </w:pPr>
    </w:p>
    <w:p w14:paraId="2B8062CA">
      <w:pPr>
        <w:jc w:val="left"/>
        <w:rPr>
          <w:rFonts w:hint="eastAsia" w:ascii="黑体" w:hAnsi="黑体" w:eastAsia="黑体" w:cs="黑体"/>
          <w:sz w:val="32"/>
          <w:szCs w:val="32"/>
          <w:lang w:eastAsia="zh-CN"/>
        </w:rPr>
      </w:pPr>
    </w:p>
    <w:p w14:paraId="0CB3465C">
      <w:pPr>
        <w:jc w:val="left"/>
        <w:rPr>
          <w:rFonts w:hint="eastAsia" w:ascii="黑体" w:hAnsi="黑体" w:eastAsia="黑体" w:cs="黑体"/>
          <w:sz w:val="32"/>
          <w:szCs w:val="32"/>
        </w:rPr>
      </w:pPr>
    </w:p>
    <w:p w14:paraId="4301CE82">
      <w:pPr>
        <w:jc w:val="left"/>
        <w:rPr>
          <w:rFonts w:hint="eastAsia" w:ascii="黑体" w:hAnsi="黑体" w:eastAsia="黑体" w:cs="黑体"/>
          <w:sz w:val="32"/>
          <w:szCs w:val="32"/>
        </w:rPr>
      </w:pPr>
    </w:p>
    <w:p w14:paraId="3C8F4408">
      <w:pPr>
        <w:jc w:val="left"/>
        <w:rPr>
          <w:rFonts w:hint="eastAsia" w:ascii="黑体" w:hAnsi="黑体" w:eastAsia="黑体" w:cs="黑体"/>
          <w:sz w:val="32"/>
          <w:szCs w:val="32"/>
        </w:rPr>
      </w:pPr>
    </w:p>
    <w:p w14:paraId="2D79A2DF">
      <w:pPr>
        <w:jc w:val="left"/>
        <w:rPr>
          <w:rFonts w:hint="eastAsia" w:ascii="黑体" w:hAnsi="黑体" w:eastAsia="黑体" w:cs="黑体"/>
          <w:sz w:val="32"/>
          <w:szCs w:val="32"/>
        </w:rPr>
      </w:pPr>
    </w:p>
    <w:p w14:paraId="6BE3F98F">
      <w:pPr>
        <w:jc w:val="left"/>
        <w:rPr>
          <w:rFonts w:hint="eastAsia" w:ascii="黑体" w:hAnsi="黑体" w:eastAsia="黑体" w:cs="黑体"/>
          <w:sz w:val="32"/>
          <w:szCs w:val="32"/>
        </w:rPr>
      </w:pPr>
    </w:p>
    <w:p w14:paraId="785CE580">
      <w:pPr>
        <w:jc w:val="left"/>
        <w:rPr>
          <w:rFonts w:hint="eastAsia" w:ascii="黑体" w:hAnsi="黑体" w:eastAsia="黑体" w:cs="黑体"/>
          <w:sz w:val="32"/>
          <w:szCs w:val="32"/>
        </w:rPr>
      </w:pPr>
    </w:p>
    <w:p w14:paraId="6070AB8B">
      <w:pPr>
        <w:jc w:val="left"/>
        <w:rPr>
          <w:rFonts w:hint="eastAsia" w:ascii="黑体" w:hAnsi="黑体" w:eastAsia="黑体" w:cs="黑体"/>
          <w:sz w:val="32"/>
          <w:szCs w:val="32"/>
        </w:rPr>
      </w:pPr>
    </w:p>
    <w:p w14:paraId="14774EFF">
      <w:pPr>
        <w:jc w:val="left"/>
        <w:rPr>
          <w:rFonts w:hint="eastAsia" w:ascii="黑体" w:hAnsi="黑体" w:eastAsia="黑体" w:cs="黑体"/>
          <w:sz w:val="32"/>
          <w:szCs w:val="32"/>
        </w:rPr>
      </w:pPr>
    </w:p>
    <w:p w14:paraId="3C804CA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ED1791"/>
    <w:multiLevelType w:val="singleLevel"/>
    <w:tmpl w:val="06ED179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1ZjhjNzY1MDYxZGNhOWE5OWRkNmUzYmUxYzUyOTUifQ=="/>
  </w:docVars>
  <w:rsids>
    <w:rsidRoot w:val="2D6D5686"/>
    <w:rsid w:val="001D621C"/>
    <w:rsid w:val="0D22135D"/>
    <w:rsid w:val="160E6333"/>
    <w:rsid w:val="197D5F2B"/>
    <w:rsid w:val="2A055081"/>
    <w:rsid w:val="2D6D5686"/>
    <w:rsid w:val="32E550B9"/>
    <w:rsid w:val="44C64C2B"/>
    <w:rsid w:val="4C6F2CDD"/>
    <w:rsid w:val="4D5045CD"/>
    <w:rsid w:val="552358C1"/>
    <w:rsid w:val="554C344A"/>
    <w:rsid w:val="63BB0B78"/>
    <w:rsid w:val="6FA36659"/>
    <w:rsid w:val="703D1A95"/>
    <w:rsid w:val="77043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footnote text"/>
    <w:basedOn w:val="1"/>
    <w:qFormat/>
    <w:uiPriority w:val="99"/>
    <w:rPr>
      <w:sz w:val="20"/>
      <w:szCs w:val="20"/>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7">
    <w:name w:val="Default"/>
    <w:next w:val="3"/>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1648</Words>
  <Characters>1757</Characters>
  <Lines>0</Lines>
  <Paragraphs>0</Paragraphs>
  <TotalTime>18</TotalTime>
  <ScaleCrop>false</ScaleCrop>
  <LinksUpToDate>false</LinksUpToDate>
  <CharactersWithSpaces>1832</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2024-04-18T07:56:00Z</dcterms:created>
  <dc:creator>PP♌</dc:creator>
  <cp:lastModifiedBy>PP♌</cp:lastModifiedBy>
  <dcterms:modified xsi:type="dcterms:W3CDTF">2024-07-11T03:01:35Z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A3E7CE83417D46E7BDF2196BBB89049A_13</vt:lpwstr>
  </property>
</Properties>
</file>